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1"/>
        <w:rPr>
          <w:rFonts w:ascii="Times New Roman"/>
          <w:sz w:val="20"/>
        </w:rPr>
      </w:pPr>
      <w:r>
        <w:rPr>
          <w:rFonts w:ascii="Times New Roman"/>
          <w:sz w:val="20"/>
        </w:rPr>
        <w:pict>
          <v:group style="width:571.050pt;height:122.25pt;mso-position-horizontal-relative:char;mso-position-vertical-relative:line" coordorigin="0,0" coordsize="11421,2445">
            <v:shape style="position:absolute;left:0;top:0;width:11421;height:2445" type="#_x0000_t75" stroked="false">
              <v:imagedata r:id="rId5" o:title=""/>
            </v:shape>
            <v:shapetype id="_x0000_t202" o:spt="202" coordsize="21600,21600" path="m,l,21600r21600,l21600,xe">
              <v:stroke joinstyle="miter"/>
              <v:path gradientshapeok="t" o:connecttype="rect"/>
            </v:shapetype>
            <v:shape style="position:absolute;left:0;top:0;width:11421;height:2445" type="#_x0000_t202" filled="false" stroked="false">
              <v:textbox inset="0,0,0,0">
                <w:txbxContent>
                  <w:p>
                    <w:pPr>
                      <w:spacing w:before="365"/>
                      <w:ind w:left="2317" w:right="2238" w:firstLine="0"/>
                      <w:jc w:val="center"/>
                      <w:rPr>
                        <w:rFonts w:ascii="Garamond"/>
                        <w:sz w:val="60"/>
                      </w:rPr>
                    </w:pPr>
                    <w:r>
                      <w:rPr>
                        <w:rFonts w:ascii="Garamond"/>
                        <w:color w:val="FFFFFF"/>
                        <w:sz w:val="60"/>
                      </w:rPr>
                      <w:t>SUNY International</w:t>
                    </w:r>
                    <w:r>
                      <w:rPr>
                        <w:rFonts w:ascii="Garamond"/>
                        <w:color w:val="FFFFFF"/>
                        <w:spacing w:val="-53"/>
                        <w:sz w:val="60"/>
                      </w:rPr>
                      <w:t> </w:t>
                    </w:r>
                    <w:r>
                      <w:rPr>
                        <w:rFonts w:ascii="Garamond"/>
                        <w:color w:val="FFFFFF"/>
                        <w:spacing w:val="-3"/>
                        <w:sz w:val="60"/>
                      </w:rPr>
                      <w:t>Inbound</w:t>
                    </w:r>
                  </w:p>
                  <w:p>
                    <w:pPr>
                      <w:spacing w:before="14"/>
                      <w:ind w:left="2317" w:right="2234" w:firstLine="0"/>
                      <w:jc w:val="center"/>
                      <w:rPr>
                        <w:rFonts w:ascii="Garamond"/>
                        <w:sz w:val="40"/>
                      </w:rPr>
                    </w:pPr>
                    <w:r>
                      <w:rPr>
                        <w:rFonts w:ascii="Garamond"/>
                        <w:color w:val="FFFFFF"/>
                        <w:sz w:val="40"/>
                      </w:rPr>
                      <w:t>2026 - 2027</w:t>
                    </w:r>
                  </w:p>
                  <w:p>
                    <w:pPr>
                      <w:spacing w:before="56"/>
                      <w:ind w:left="2314" w:right="2238" w:firstLine="0"/>
                      <w:jc w:val="center"/>
                      <w:rPr>
                        <w:rFonts w:ascii="Garamond"/>
                        <w:sz w:val="40"/>
                      </w:rPr>
                    </w:pPr>
                    <w:r>
                      <w:rPr>
                        <w:rFonts w:ascii="Garamond"/>
                        <w:color w:val="FFFFFF"/>
                        <w:sz w:val="40"/>
                      </w:rPr>
                      <w:t>Student Health Insurance</w:t>
                    </w:r>
                  </w:p>
                </w:txbxContent>
              </v:textbox>
              <w10:wrap type="none"/>
            </v:shape>
          </v:group>
        </w:pict>
      </w:r>
      <w:r>
        <w:rPr>
          <w:rFonts w:ascii="Times New Roman"/>
          <w:sz w:val="20"/>
        </w:rPr>
      </w:r>
    </w:p>
    <w:p>
      <w:pPr>
        <w:pStyle w:val="BodyText"/>
        <w:spacing w:before="9"/>
        <w:rPr>
          <w:rFonts w:ascii="Times New Roman"/>
        </w:rPr>
      </w:pPr>
    </w:p>
    <w:p>
      <w:pPr>
        <w:spacing w:after="0"/>
        <w:rPr>
          <w:rFonts w:ascii="Times New Roman"/>
        </w:rPr>
        <w:sectPr>
          <w:type w:val="continuous"/>
          <w:pgSz w:w="12240" w:h="15840"/>
          <w:pgMar w:top="340" w:bottom="280" w:left="300" w:right="300"/>
        </w:sectPr>
      </w:pPr>
    </w:p>
    <w:p>
      <w:pPr>
        <w:pStyle w:val="BodyText"/>
        <w:spacing w:before="122"/>
        <w:ind w:left="2185"/>
        <w:rPr>
          <w:rFonts w:ascii="Calibri"/>
        </w:rPr>
      </w:pPr>
      <w:r>
        <w:rPr/>
        <w:pict>
          <v:group style="position:absolute;margin-left:103.60009pt;margin-top:4.684803pt;width:487.65pt;height:590.550pt;mso-position-horizontal-relative:page;mso-position-vertical-relative:paragraph;z-index:-5656" coordorigin="2072,94" coordsize="9753,11811">
            <v:shape style="position:absolute;left:2072;top:93;width:8265;height:11502" type="#_x0000_t75" alt="Who is eligible?  All international students and visiting scholars (J1, M1, &amp; F1 visa holders) are eligible and are required to be enrolled in the plan, unless a waiver is granted by SUNY. (See the separate brochure with plan benefits for J1 Scholars and F1 students on OPT.) Eligible students and scholars may also (or may be required to) insure their dependents. Eligible Dependents are the students spouse or domestic partner and dependent children under 26 years of age. International visitors on other types of visa may be eligible. Please consult with the SUNY plan administrators for any eligibility questions.  The Student Health Insurance Plan Offers You:  € Unlimited coverage for primary care providers, specialists, emergency visits and hospitals  € Unlimited coverage for preventative care, including annual physicals, GYN exams, routine screenings and immunizations  € Prescription Drug Coverage: $10 copay for tier 1 drugs, and a $20 copay for tier 2 or 3 drugs  € Unlimited coverage for inter-collegiate athletics  € Unlimited coverage for mental health  € Evacuation and Repatriation Services  € Tele-Doc service for minor sickness, injury &amp; mental health  How to access information:  To check claims status, ask benefit questions, locate a provider in the US, or to inquire about specific drug coverage under this policy:  888.714.6544 customerservice@uhcsr.com  For medical providers in the US, please log in to your myuhc.com account and then click Find a Doctor.  To create or login to your UHC student account:  Please visit myaccount.uhcsr.com or download UHCs mobile app from your smartphone (UHCSR Mobile App) available on the App Store or Google play.  Your UHC student account allows you to:  € View and download your insurance card  € Review claims and dates of service  € Locate participating providers  SUNY International Inbound  2026 - 2027  Student Health Insurance  For further details of the coverage  including cost, benefits, exclusions, and  reductions or limitations and the terms  un " stroked="false">
              <v:imagedata r:id="rId6" o:title=""/>
            </v:shape>
            <v:shape style="position:absolute;left:6756;top:10003;width:5069;height:1900" type="#_x0000_t75" alt="For further details of the coverage  including cost, benefits, exclusions, and  reductions or limitations and the terms  under which the policy may be continued  in force, please refer to the overview policy. " stroked="false">
              <v:imagedata r:id="rId7" o:title=""/>
            </v:shape>
            <w10:wrap type="none"/>
          </v:group>
        </w:pict>
      </w:r>
      <w:bookmarkStart w:name="Who is eligible?" w:id="1"/>
      <w:bookmarkEnd w:id="1"/>
      <w:r>
        <w:rPr/>
      </w:r>
      <w:r>
        <w:rPr>
          <w:rFonts w:ascii="Calibri"/>
          <w:w w:val="125"/>
        </w:rPr>
        <w:t>Who is eligible?</w:t>
      </w:r>
    </w:p>
    <w:p>
      <w:pPr>
        <w:pStyle w:val="BodyText"/>
        <w:spacing w:line="276" w:lineRule="auto" w:before="162"/>
        <w:ind w:left="330" w:right="283"/>
      </w:pPr>
      <w:r>
        <w:rPr>
          <w:w w:val="105"/>
        </w:rPr>
        <w:t>All</w:t>
      </w:r>
      <w:r>
        <w:rPr>
          <w:spacing w:val="-22"/>
          <w:w w:val="105"/>
        </w:rPr>
        <w:t> </w:t>
      </w:r>
      <w:r>
        <w:rPr>
          <w:w w:val="105"/>
        </w:rPr>
        <w:t>international</w:t>
      </w:r>
      <w:r>
        <w:rPr>
          <w:spacing w:val="-22"/>
          <w:w w:val="105"/>
        </w:rPr>
        <w:t> </w:t>
      </w:r>
      <w:r>
        <w:rPr>
          <w:w w:val="105"/>
        </w:rPr>
        <w:t>students</w:t>
      </w:r>
      <w:r>
        <w:rPr>
          <w:spacing w:val="-21"/>
          <w:w w:val="105"/>
        </w:rPr>
        <w:t> </w:t>
      </w:r>
      <w:r>
        <w:rPr>
          <w:w w:val="105"/>
        </w:rPr>
        <w:t>and</w:t>
      </w:r>
      <w:r>
        <w:rPr>
          <w:spacing w:val="-22"/>
          <w:w w:val="105"/>
        </w:rPr>
        <w:t> </w:t>
      </w:r>
      <w:r>
        <w:rPr>
          <w:w w:val="105"/>
        </w:rPr>
        <w:t>visiting</w:t>
      </w:r>
      <w:r>
        <w:rPr>
          <w:spacing w:val="-22"/>
          <w:w w:val="105"/>
        </w:rPr>
        <w:t> </w:t>
      </w:r>
      <w:r>
        <w:rPr>
          <w:w w:val="105"/>
        </w:rPr>
        <w:t>scholars (J1,</w:t>
      </w:r>
      <w:r>
        <w:rPr>
          <w:spacing w:val="-22"/>
          <w:w w:val="105"/>
        </w:rPr>
        <w:t> </w:t>
      </w:r>
      <w:r>
        <w:rPr>
          <w:w w:val="105"/>
        </w:rPr>
        <w:t>M1,</w:t>
      </w:r>
      <w:r>
        <w:rPr>
          <w:spacing w:val="-22"/>
          <w:w w:val="105"/>
        </w:rPr>
        <w:t> </w:t>
      </w:r>
      <w:r>
        <w:rPr>
          <w:w w:val="105"/>
        </w:rPr>
        <w:t>&amp;</w:t>
      </w:r>
      <w:r>
        <w:rPr>
          <w:spacing w:val="-22"/>
          <w:w w:val="105"/>
        </w:rPr>
        <w:t> </w:t>
      </w:r>
      <w:r>
        <w:rPr>
          <w:w w:val="105"/>
        </w:rPr>
        <w:t>F1</w:t>
      </w:r>
      <w:r>
        <w:rPr>
          <w:spacing w:val="-22"/>
          <w:w w:val="105"/>
        </w:rPr>
        <w:t> </w:t>
      </w:r>
      <w:r>
        <w:rPr>
          <w:w w:val="105"/>
        </w:rPr>
        <w:t>visa</w:t>
      </w:r>
      <w:r>
        <w:rPr>
          <w:spacing w:val="-22"/>
          <w:w w:val="105"/>
        </w:rPr>
        <w:t> </w:t>
      </w:r>
      <w:r>
        <w:rPr>
          <w:w w:val="105"/>
        </w:rPr>
        <w:t>holders)</w:t>
      </w:r>
      <w:r>
        <w:rPr>
          <w:spacing w:val="-22"/>
          <w:w w:val="105"/>
        </w:rPr>
        <w:t> </w:t>
      </w:r>
      <w:r>
        <w:rPr>
          <w:w w:val="105"/>
        </w:rPr>
        <w:t>are</w:t>
      </w:r>
      <w:r>
        <w:rPr>
          <w:spacing w:val="-22"/>
          <w:w w:val="105"/>
        </w:rPr>
        <w:t> </w:t>
      </w:r>
      <w:r>
        <w:rPr>
          <w:w w:val="105"/>
        </w:rPr>
        <w:t>eligible</w:t>
      </w:r>
      <w:r>
        <w:rPr>
          <w:spacing w:val="-22"/>
          <w:w w:val="105"/>
        </w:rPr>
        <w:t> </w:t>
      </w:r>
      <w:r>
        <w:rPr>
          <w:w w:val="105"/>
        </w:rPr>
        <w:t>and</w:t>
      </w:r>
      <w:r>
        <w:rPr>
          <w:spacing w:val="-22"/>
          <w:w w:val="105"/>
        </w:rPr>
        <w:t> </w:t>
      </w:r>
      <w:r>
        <w:rPr>
          <w:w w:val="105"/>
        </w:rPr>
        <w:t>are</w:t>
      </w:r>
    </w:p>
    <w:p>
      <w:pPr>
        <w:pStyle w:val="BodyText"/>
        <w:spacing w:line="273" w:lineRule="auto" w:before="3"/>
        <w:ind w:left="330"/>
      </w:pPr>
      <w:r>
        <w:rPr>
          <w:w w:val="105"/>
        </w:rPr>
        <w:t>required to be enrolled in the plan, unless a waiver is granted by SUNY. (See the separate brochure </w:t>
      </w:r>
      <w:r>
        <w:rPr>
          <w:rFonts w:ascii="Calibri" w:hAnsi="Calibri"/>
          <w:w w:val="105"/>
        </w:rPr>
        <w:t>with plan beneﬁts for  J1  Scholars  and  F1  students </w:t>
      </w:r>
      <w:r>
        <w:rPr>
          <w:w w:val="105"/>
        </w:rPr>
        <w:t>on</w:t>
      </w:r>
      <w:r>
        <w:rPr>
          <w:spacing w:val="-30"/>
          <w:w w:val="105"/>
        </w:rPr>
        <w:t> </w:t>
      </w:r>
      <w:r>
        <w:rPr>
          <w:w w:val="105"/>
        </w:rPr>
        <w:t>OPT.)</w:t>
      </w:r>
      <w:r>
        <w:rPr>
          <w:spacing w:val="-30"/>
          <w:w w:val="105"/>
        </w:rPr>
        <w:t> </w:t>
      </w:r>
      <w:r>
        <w:rPr>
          <w:w w:val="105"/>
        </w:rPr>
        <w:t>Eligible</w:t>
      </w:r>
      <w:r>
        <w:rPr>
          <w:spacing w:val="-31"/>
          <w:w w:val="105"/>
        </w:rPr>
        <w:t> </w:t>
      </w:r>
      <w:r>
        <w:rPr>
          <w:w w:val="105"/>
        </w:rPr>
        <w:t>students</w:t>
      </w:r>
      <w:r>
        <w:rPr>
          <w:spacing w:val="-30"/>
          <w:w w:val="105"/>
        </w:rPr>
        <w:t> </w:t>
      </w:r>
      <w:r>
        <w:rPr>
          <w:w w:val="105"/>
        </w:rPr>
        <w:t>and</w:t>
      </w:r>
      <w:r>
        <w:rPr>
          <w:spacing w:val="-31"/>
          <w:w w:val="105"/>
        </w:rPr>
        <w:t> </w:t>
      </w:r>
      <w:r>
        <w:rPr>
          <w:w w:val="105"/>
        </w:rPr>
        <w:t>scholars</w:t>
      </w:r>
      <w:r>
        <w:rPr>
          <w:spacing w:val="-30"/>
          <w:w w:val="105"/>
        </w:rPr>
        <w:t> </w:t>
      </w:r>
      <w:r>
        <w:rPr>
          <w:w w:val="105"/>
        </w:rPr>
        <w:t>may</w:t>
      </w:r>
      <w:r>
        <w:rPr>
          <w:spacing w:val="-31"/>
          <w:w w:val="105"/>
        </w:rPr>
        <w:t> </w:t>
      </w:r>
      <w:r>
        <w:rPr>
          <w:w w:val="105"/>
        </w:rPr>
        <w:t>also</w:t>
      </w:r>
      <w:r>
        <w:rPr>
          <w:spacing w:val="-30"/>
          <w:w w:val="105"/>
        </w:rPr>
        <w:t> </w:t>
      </w:r>
      <w:r>
        <w:rPr>
          <w:w w:val="105"/>
        </w:rPr>
        <w:t>(or may</w:t>
      </w:r>
      <w:r>
        <w:rPr>
          <w:spacing w:val="-11"/>
          <w:w w:val="105"/>
        </w:rPr>
        <w:t> </w:t>
      </w:r>
      <w:r>
        <w:rPr>
          <w:w w:val="105"/>
        </w:rPr>
        <w:t>be</w:t>
      </w:r>
      <w:r>
        <w:rPr>
          <w:spacing w:val="-12"/>
          <w:w w:val="105"/>
        </w:rPr>
        <w:t> </w:t>
      </w:r>
      <w:r>
        <w:rPr>
          <w:w w:val="105"/>
        </w:rPr>
        <w:t>required</w:t>
      </w:r>
      <w:r>
        <w:rPr>
          <w:spacing w:val="-12"/>
          <w:w w:val="105"/>
        </w:rPr>
        <w:t> </w:t>
      </w:r>
      <w:r>
        <w:rPr>
          <w:w w:val="105"/>
        </w:rPr>
        <w:t>to)</w:t>
      </w:r>
      <w:r>
        <w:rPr>
          <w:spacing w:val="-11"/>
          <w:w w:val="105"/>
        </w:rPr>
        <w:t> </w:t>
      </w:r>
      <w:r>
        <w:rPr>
          <w:w w:val="105"/>
        </w:rPr>
        <w:t>insure</w:t>
      </w:r>
      <w:r>
        <w:rPr>
          <w:spacing w:val="-12"/>
          <w:w w:val="105"/>
        </w:rPr>
        <w:t> </w:t>
      </w:r>
      <w:r>
        <w:rPr>
          <w:w w:val="105"/>
        </w:rPr>
        <w:t>their</w:t>
      </w:r>
      <w:r>
        <w:rPr>
          <w:spacing w:val="-10"/>
          <w:w w:val="105"/>
        </w:rPr>
        <w:t> </w:t>
      </w:r>
      <w:r>
        <w:rPr>
          <w:w w:val="105"/>
        </w:rPr>
        <w:t>dependents.</w:t>
      </w:r>
    </w:p>
    <w:p>
      <w:pPr>
        <w:pStyle w:val="BodyText"/>
        <w:spacing w:line="271" w:lineRule="auto" w:before="1"/>
        <w:ind w:left="329"/>
        <w:rPr>
          <w:rFonts w:ascii="Calibri" w:hAnsi="Calibri"/>
        </w:rPr>
      </w:pPr>
      <w:r>
        <w:rPr>
          <w:w w:val="110"/>
        </w:rPr>
        <w:t>Eligible Dependents are the student’s spouse or domestic</w:t>
      </w:r>
      <w:r>
        <w:rPr>
          <w:spacing w:val="-46"/>
          <w:w w:val="110"/>
        </w:rPr>
        <w:t> </w:t>
      </w:r>
      <w:r>
        <w:rPr>
          <w:w w:val="110"/>
        </w:rPr>
        <w:t>partner</w:t>
      </w:r>
      <w:r>
        <w:rPr>
          <w:spacing w:val="-46"/>
          <w:w w:val="110"/>
        </w:rPr>
        <w:t> </w:t>
      </w:r>
      <w:r>
        <w:rPr>
          <w:w w:val="110"/>
        </w:rPr>
        <w:t>and</w:t>
      </w:r>
      <w:r>
        <w:rPr>
          <w:spacing w:val="-46"/>
          <w:w w:val="110"/>
        </w:rPr>
        <w:t> </w:t>
      </w:r>
      <w:r>
        <w:rPr>
          <w:w w:val="110"/>
        </w:rPr>
        <w:t>dependent</w:t>
      </w:r>
      <w:r>
        <w:rPr>
          <w:spacing w:val="-45"/>
          <w:w w:val="110"/>
        </w:rPr>
        <w:t> </w:t>
      </w:r>
      <w:r>
        <w:rPr>
          <w:w w:val="110"/>
        </w:rPr>
        <w:t>children</w:t>
      </w:r>
      <w:r>
        <w:rPr>
          <w:spacing w:val="-46"/>
          <w:w w:val="110"/>
        </w:rPr>
        <w:t> </w:t>
      </w:r>
      <w:r>
        <w:rPr>
          <w:w w:val="110"/>
        </w:rPr>
        <w:t>under</w:t>
      </w:r>
      <w:r>
        <w:rPr>
          <w:spacing w:val="-46"/>
          <w:w w:val="110"/>
        </w:rPr>
        <w:t> </w:t>
      </w:r>
      <w:r>
        <w:rPr>
          <w:w w:val="110"/>
        </w:rPr>
        <w:t>26 </w:t>
      </w:r>
      <w:r>
        <w:rPr>
          <w:rFonts w:ascii="Calibri" w:hAnsi="Calibri"/>
          <w:w w:val="110"/>
        </w:rPr>
        <w:t>years of age. International visitors on </w:t>
      </w:r>
      <w:r>
        <w:rPr>
          <w:w w:val="110"/>
        </w:rPr>
        <w:t>other types </w:t>
      </w:r>
      <w:r>
        <w:rPr>
          <w:rFonts w:ascii="Calibri" w:hAnsi="Calibri"/>
          <w:w w:val="110"/>
        </w:rPr>
        <w:t>of </w:t>
      </w:r>
      <w:r>
        <w:rPr>
          <w:w w:val="110"/>
        </w:rPr>
        <w:t>visa</w:t>
      </w:r>
      <w:r>
        <w:rPr>
          <w:spacing w:val="-52"/>
          <w:w w:val="110"/>
        </w:rPr>
        <w:t> </w:t>
      </w:r>
      <w:r>
        <w:rPr>
          <w:w w:val="110"/>
        </w:rPr>
        <w:t>may</w:t>
      </w:r>
      <w:r>
        <w:rPr>
          <w:spacing w:val="-52"/>
          <w:w w:val="110"/>
        </w:rPr>
        <w:t> </w:t>
      </w:r>
      <w:r>
        <w:rPr>
          <w:w w:val="110"/>
        </w:rPr>
        <w:t>be</w:t>
      </w:r>
      <w:r>
        <w:rPr>
          <w:spacing w:val="-52"/>
          <w:w w:val="110"/>
        </w:rPr>
        <w:t> </w:t>
      </w:r>
      <w:r>
        <w:rPr>
          <w:w w:val="110"/>
        </w:rPr>
        <w:t>eligible.</w:t>
      </w:r>
      <w:r>
        <w:rPr>
          <w:spacing w:val="-51"/>
          <w:w w:val="110"/>
        </w:rPr>
        <w:t> </w:t>
      </w:r>
      <w:r>
        <w:rPr>
          <w:w w:val="110"/>
        </w:rPr>
        <w:t>Please</w:t>
      </w:r>
      <w:r>
        <w:rPr>
          <w:spacing w:val="-50"/>
          <w:w w:val="110"/>
        </w:rPr>
        <w:t> </w:t>
      </w:r>
      <w:r>
        <w:rPr>
          <w:w w:val="110"/>
        </w:rPr>
        <w:t>consult</w:t>
      </w:r>
      <w:r>
        <w:rPr>
          <w:spacing w:val="-50"/>
          <w:w w:val="110"/>
        </w:rPr>
        <w:t> </w:t>
      </w:r>
      <w:r>
        <w:rPr>
          <w:w w:val="110"/>
        </w:rPr>
        <w:t>with</w:t>
      </w:r>
      <w:r>
        <w:rPr>
          <w:spacing w:val="-49"/>
          <w:w w:val="110"/>
        </w:rPr>
        <w:t> </w:t>
      </w:r>
      <w:r>
        <w:rPr>
          <w:w w:val="110"/>
        </w:rPr>
        <w:t>the</w:t>
      </w:r>
      <w:r>
        <w:rPr>
          <w:spacing w:val="-50"/>
          <w:w w:val="110"/>
        </w:rPr>
        <w:t> </w:t>
      </w:r>
      <w:r>
        <w:rPr>
          <w:w w:val="110"/>
        </w:rPr>
        <w:t>SUNY </w:t>
      </w:r>
      <w:r>
        <w:rPr>
          <w:rFonts w:ascii="Calibri" w:hAnsi="Calibri"/>
          <w:w w:val="110"/>
        </w:rPr>
        <w:t>plan administrators for any eligibility</w:t>
      </w:r>
      <w:r>
        <w:rPr>
          <w:rFonts w:ascii="Calibri" w:hAnsi="Calibri"/>
          <w:spacing w:val="12"/>
          <w:w w:val="110"/>
        </w:rPr>
        <w:t> </w:t>
      </w:r>
      <w:r>
        <w:rPr>
          <w:rFonts w:ascii="Calibri" w:hAnsi="Calibri"/>
          <w:w w:val="110"/>
        </w:rPr>
        <w:t>questions.</w:t>
      </w:r>
    </w:p>
    <w:p>
      <w:pPr>
        <w:pStyle w:val="BodyText"/>
        <w:rPr>
          <w:rFonts w:ascii="Calibri"/>
          <w:sz w:val="28"/>
        </w:rPr>
      </w:pPr>
    </w:p>
    <w:p>
      <w:pPr>
        <w:pStyle w:val="BodyText"/>
        <w:spacing w:line="297" w:lineRule="auto" w:before="246"/>
        <w:ind w:left="410" w:right="510"/>
        <w:jc w:val="center"/>
        <w:rPr>
          <w:rFonts w:ascii="Calibri"/>
        </w:rPr>
      </w:pPr>
      <w:bookmarkStart w:name="The Student Health Insurance Plan Offers" w:id="2"/>
      <w:bookmarkEnd w:id="2"/>
      <w:r>
        <w:rPr/>
      </w:r>
      <w:r>
        <w:rPr>
          <w:rFonts w:ascii="Calibri"/>
          <w:w w:val="125"/>
        </w:rPr>
        <w:t>The Student Health Insurance Plan Offers You:</w:t>
      </w:r>
    </w:p>
    <w:p>
      <w:pPr>
        <w:pStyle w:val="ListParagraph"/>
        <w:numPr>
          <w:ilvl w:val="0"/>
          <w:numId w:val="1"/>
        </w:numPr>
        <w:tabs>
          <w:tab w:pos="333" w:val="left" w:leader="none"/>
        </w:tabs>
        <w:spacing w:line="240" w:lineRule="auto" w:before="123" w:after="0"/>
        <w:ind w:left="332" w:right="535" w:hanging="85"/>
        <w:jc w:val="left"/>
        <w:rPr>
          <w:rFonts w:ascii="Helvetica"/>
          <w:sz w:val="24"/>
        </w:rPr>
      </w:pPr>
      <w:r>
        <w:rPr>
          <w:w w:val="105"/>
          <w:sz w:val="24"/>
        </w:rPr>
        <w:t>Unlimited coverage for primary care providers, </w:t>
      </w:r>
      <w:r>
        <w:rPr>
          <w:rFonts w:ascii="Helvetica"/>
          <w:w w:val="105"/>
          <w:sz w:val="24"/>
        </w:rPr>
        <w:t>specialists,</w:t>
      </w:r>
      <w:r>
        <w:rPr>
          <w:rFonts w:ascii="Helvetica"/>
          <w:spacing w:val="-21"/>
          <w:w w:val="105"/>
          <w:sz w:val="24"/>
        </w:rPr>
        <w:t> </w:t>
      </w:r>
      <w:r>
        <w:rPr>
          <w:rFonts w:ascii="Helvetica"/>
          <w:w w:val="105"/>
          <w:sz w:val="24"/>
        </w:rPr>
        <w:t>emergency</w:t>
      </w:r>
      <w:r>
        <w:rPr>
          <w:rFonts w:ascii="Helvetica"/>
          <w:spacing w:val="-21"/>
          <w:w w:val="105"/>
          <w:sz w:val="24"/>
        </w:rPr>
        <w:t> </w:t>
      </w:r>
      <w:r>
        <w:rPr>
          <w:rFonts w:ascii="Helvetica"/>
          <w:w w:val="105"/>
          <w:sz w:val="24"/>
        </w:rPr>
        <w:t>visits</w:t>
      </w:r>
      <w:r>
        <w:rPr>
          <w:rFonts w:ascii="Helvetica"/>
          <w:spacing w:val="-21"/>
          <w:w w:val="105"/>
          <w:sz w:val="24"/>
        </w:rPr>
        <w:t> </w:t>
      </w:r>
      <w:r>
        <w:rPr>
          <w:rFonts w:ascii="Helvetica"/>
          <w:w w:val="105"/>
          <w:sz w:val="24"/>
        </w:rPr>
        <w:t>and</w:t>
      </w:r>
      <w:r>
        <w:rPr>
          <w:rFonts w:ascii="Helvetica"/>
          <w:spacing w:val="-22"/>
          <w:w w:val="105"/>
          <w:sz w:val="24"/>
        </w:rPr>
        <w:t> </w:t>
      </w:r>
      <w:r>
        <w:rPr>
          <w:rFonts w:ascii="Helvetica"/>
          <w:w w:val="105"/>
          <w:sz w:val="24"/>
        </w:rPr>
        <w:t>hospitals</w:t>
      </w:r>
    </w:p>
    <w:p>
      <w:pPr>
        <w:pStyle w:val="ListParagraph"/>
        <w:numPr>
          <w:ilvl w:val="0"/>
          <w:numId w:val="1"/>
        </w:numPr>
        <w:tabs>
          <w:tab w:pos="333" w:val="left" w:leader="none"/>
        </w:tabs>
        <w:spacing w:line="247" w:lineRule="auto" w:before="105" w:after="0"/>
        <w:ind w:left="332" w:right="478" w:hanging="85"/>
        <w:jc w:val="left"/>
        <w:rPr>
          <w:rFonts w:ascii="Helvetica"/>
          <w:sz w:val="24"/>
        </w:rPr>
      </w:pPr>
      <w:r>
        <w:rPr>
          <w:w w:val="105"/>
          <w:sz w:val="24"/>
        </w:rPr>
        <w:t>Unlimited coverage for preventative care, </w:t>
      </w:r>
      <w:r>
        <w:rPr>
          <w:rFonts w:ascii="Helvetica"/>
          <w:w w:val="105"/>
          <w:sz w:val="24"/>
        </w:rPr>
        <w:t>including</w:t>
      </w:r>
      <w:r>
        <w:rPr>
          <w:rFonts w:ascii="Helvetica"/>
          <w:spacing w:val="-35"/>
          <w:w w:val="105"/>
          <w:sz w:val="24"/>
        </w:rPr>
        <w:t> </w:t>
      </w:r>
      <w:r>
        <w:rPr>
          <w:rFonts w:ascii="Helvetica"/>
          <w:w w:val="105"/>
          <w:sz w:val="24"/>
        </w:rPr>
        <w:t>annual</w:t>
      </w:r>
      <w:r>
        <w:rPr>
          <w:rFonts w:ascii="Helvetica"/>
          <w:spacing w:val="-35"/>
          <w:w w:val="105"/>
          <w:sz w:val="24"/>
        </w:rPr>
        <w:t> </w:t>
      </w:r>
      <w:r>
        <w:rPr>
          <w:rFonts w:ascii="Helvetica"/>
          <w:w w:val="105"/>
          <w:sz w:val="24"/>
        </w:rPr>
        <w:t>physicals,</w:t>
      </w:r>
      <w:r>
        <w:rPr>
          <w:rFonts w:ascii="Helvetica"/>
          <w:spacing w:val="-34"/>
          <w:w w:val="105"/>
          <w:sz w:val="24"/>
        </w:rPr>
        <w:t> </w:t>
      </w:r>
      <w:r>
        <w:rPr>
          <w:rFonts w:ascii="Helvetica"/>
          <w:w w:val="105"/>
          <w:sz w:val="24"/>
        </w:rPr>
        <w:t>GYN</w:t>
      </w:r>
      <w:r>
        <w:rPr>
          <w:rFonts w:ascii="Helvetica"/>
          <w:spacing w:val="-34"/>
          <w:w w:val="105"/>
          <w:sz w:val="24"/>
        </w:rPr>
        <w:t> </w:t>
      </w:r>
      <w:r>
        <w:rPr>
          <w:rFonts w:ascii="Helvetica"/>
          <w:w w:val="105"/>
          <w:sz w:val="24"/>
        </w:rPr>
        <w:t>exams,</w:t>
      </w:r>
      <w:r>
        <w:rPr>
          <w:rFonts w:ascii="Helvetica"/>
          <w:spacing w:val="-34"/>
          <w:w w:val="105"/>
          <w:sz w:val="24"/>
        </w:rPr>
        <w:t> </w:t>
      </w:r>
      <w:r>
        <w:rPr>
          <w:rFonts w:ascii="Helvetica"/>
          <w:w w:val="105"/>
          <w:sz w:val="24"/>
        </w:rPr>
        <w:t>routine screenings and</w:t>
      </w:r>
      <w:r>
        <w:rPr>
          <w:rFonts w:ascii="Helvetica"/>
          <w:spacing w:val="-26"/>
          <w:w w:val="105"/>
          <w:sz w:val="24"/>
        </w:rPr>
        <w:t> </w:t>
      </w:r>
      <w:r>
        <w:rPr>
          <w:rFonts w:ascii="Helvetica"/>
          <w:w w:val="105"/>
          <w:sz w:val="24"/>
        </w:rPr>
        <w:t>immunizations</w:t>
      </w:r>
    </w:p>
    <w:p>
      <w:pPr>
        <w:pStyle w:val="ListParagraph"/>
        <w:numPr>
          <w:ilvl w:val="0"/>
          <w:numId w:val="1"/>
        </w:numPr>
        <w:tabs>
          <w:tab w:pos="333" w:val="left" w:leader="none"/>
        </w:tabs>
        <w:spacing w:line="237" w:lineRule="auto" w:before="96" w:after="0"/>
        <w:ind w:left="332" w:right="331" w:hanging="85"/>
        <w:jc w:val="left"/>
        <w:rPr>
          <w:sz w:val="24"/>
        </w:rPr>
      </w:pPr>
      <w:r>
        <w:rPr>
          <w:w w:val="110"/>
          <w:sz w:val="24"/>
        </w:rPr>
        <w:t>Prescription Drug Coverage: $10 copay for tier 1 drugs, and a $20 copay for tier 2 or 3</w:t>
      </w:r>
      <w:r>
        <w:rPr>
          <w:spacing w:val="55"/>
          <w:w w:val="110"/>
          <w:sz w:val="24"/>
        </w:rPr>
        <w:t> </w:t>
      </w:r>
      <w:r>
        <w:rPr>
          <w:w w:val="110"/>
          <w:sz w:val="24"/>
        </w:rPr>
        <w:t>drugs</w:t>
      </w:r>
    </w:p>
    <w:p>
      <w:pPr>
        <w:pStyle w:val="ListParagraph"/>
        <w:numPr>
          <w:ilvl w:val="0"/>
          <w:numId w:val="1"/>
        </w:numPr>
        <w:tabs>
          <w:tab w:pos="333" w:val="left" w:leader="none"/>
        </w:tabs>
        <w:spacing w:line="240" w:lineRule="auto" w:before="94" w:after="0"/>
        <w:ind w:left="332" w:right="0" w:hanging="85"/>
        <w:jc w:val="left"/>
        <w:rPr>
          <w:rFonts w:ascii="Helvetica"/>
          <w:sz w:val="24"/>
        </w:rPr>
      </w:pPr>
      <w:r>
        <w:rPr>
          <w:w w:val="110"/>
          <w:sz w:val="24"/>
        </w:rPr>
        <w:t>Unlimited coverage for inter</w:t>
      </w:r>
      <w:r>
        <w:rPr>
          <w:rFonts w:ascii="Helvetica"/>
          <w:w w:val="110"/>
          <w:sz w:val="24"/>
        </w:rPr>
        <w:t>-collegiate</w:t>
      </w:r>
      <w:r>
        <w:rPr>
          <w:rFonts w:ascii="Helvetica"/>
          <w:spacing w:val="-45"/>
          <w:w w:val="110"/>
          <w:sz w:val="24"/>
        </w:rPr>
        <w:t> </w:t>
      </w:r>
      <w:r>
        <w:rPr>
          <w:rFonts w:ascii="Helvetica"/>
          <w:w w:val="110"/>
          <w:sz w:val="24"/>
        </w:rPr>
        <w:t>athletics</w:t>
      </w:r>
    </w:p>
    <w:p>
      <w:pPr>
        <w:pStyle w:val="ListParagraph"/>
        <w:numPr>
          <w:ilvl w:val="0"/>
          <w:numId w:val="1"/>
        </w:numPr>
        <w:tabs>
          <w:tab w:pos="333" w:val="left" w:leader="none"/>
        </w:tabs>
        <w:spacing w:line="240" w:lineRule="auto" w:before="92" w:after="0"/>
        <w:ind w:left="332" w:right="0" w:hanging="85"/>
        <w:jc w:val="left"/>
        <w:rPr>
          <w:sz w:val="24"/>
        </w:rPr>
      </w:pPr>
      <w:r>
        <w:rPr>
          <w:w w:val="110"/>
          <w:sz w:val="24"/>
        </w:rPr>
        <w:t>Unlimited coverage for mental</w:t>
      </w:r>
      <w:r>
        <w:rPr>
          <w:spacing w:val="30"/>
          <w:w w:val="110"/>
          <w:sz w:val="24"/>
        </w:rPr>
        <w:t> </w:t>
      </w:r>
      <w:r>
        <w:rPr>
          <w:w w:val="110"/>
          <w:sz w:val="24"/>
        </w:rPr>
        <w:t>health</w:t>
      </w:r>
    </w:p>
    <w:p>
      <w:pPr>
        <w:pStyle w:val="ListParagraph"/>
        <w:numPr>
          <w:ilvl w:val="0"/>
          <w:numId w:val="1"/>
        </w:numPr>
        <w:tabs>
          <w:tab w:pos="333" w:val="left" w:leader="none"/>
        </w:tabs>
        <w:spacing w:line="240" w:lineRule="auto" w:before="92" w:after="0"/>
        <w:ind w:left="332" w:right="0" w:hanging="85"/>
        <w:jc w:val="left"/>
        <w:rPr>
          <w:rFonts w:ascii="Helvetica"/>
          <w:sz w:val="24"/>
        </w:rPr>
      </w:pPr>
      <w:r>
        <w:rPr>
          <w:rFonts w:ascii="Helvetica"/>
          <w:sz w:val="24"/>
        </w:rPr>
        <w:t>Evacuation and Repatriation</w:t>
      </w:r>
      <w:r>
        <w:rPr>
          <w:rFonts w:ascii="Helvetica"/>
          <w:spacing w:val="18"/>
          <w:sz w:val="24"/>
        </w:rPr>
        <w:t> </w:t>
      </w:r>
      <w:r>
        <w:rPr>
          <w:rFonts w:ascii="Helvetica"/>
          <w:sz w:val="24"/>
        </w:rPr>
        <w:t>Services</w:t>
      </w:r>
    </w:p>
    <w:p>
      <w:pPr>
        <w:pStyle w:val="ListParagraph"/>
        <w:numPr>
          <w:ilvl w:val="0"/>
          <w:numId w:val="1"/>
        </w:numPr>
        <w:tabs>
          <w:tab w:pos="333" w:val="left" w:leader="none"/>
        </w:tabs>
        <w:spacing w:line="240" w:lineRule="auto" w:before="92" w:after="0"/>
        <w:ind w:left="332" w:right="852" w:hanging="85"/>
        <w:jc w:val="left"/>
        <w:rPr>
          <w:rFonts w:ascii="Helvetica"/>
          <w:sz w:val="24"/>
        </w:rPr>
      </w:pPr>
      <w:r>
        <w:rPr>
          <w:rFonts w:ascii="Helvetica"/>
          <w:w w:val="110"/>
          <w:sz w:val="24"/>
        </w:rPr>
        <w:t>Tele-</w:t>
      </w:r>
      <w:r>
        <w:rPr>
          <w:w w:val="110"/>
          <w:sz w:val="24"/>
        </w:rPr>
        <w:t>Doc service for minor sickness, injury</w:t>
      </w:r>
      <w:r>
        <w:rPr>
          <w:spacing w:val="-21"/>
          <w:w w:val="110"/>
          <w:sz w:val="24"/>
        </w:rPr>
        <w:t> </w:t>
      </w:r>
      <w:r>
        <w:rPr>
          <w:w w:val="110"/>
          <w:sz w:val="24"/>
        </w:rPr>
        <w:t>&amp; </w:t>
      </w:r>
      <w:r>
        <w:rPr>
          <w:rFonts w:ascii="Helvetica"/>
          <w:w w:val="110"/>
          <w:sz w:val="24"/>
        </w:rPr>
        <w:t>mental</w:t>
      </w:r>
      <w:r>
        <w:rPr>
          <w:rFonts w:ascii="Helvetica"/>
          <w:spacing w:val="-17"/>
          <w:w w:val="110"/>
          <w:sz w:val="24"/>
        </w:rPr>
        <w:t> </w:t>
      </w:r>
      <w:r>
        <w:rPr>
          <w:rFonts w:ascii="Helvetica"/>
          <w:w w:val="110"/>
          <w:sz w:val="24"/>
        </w:rPr>
        <w:t>health</w:t>
      </w:r>
    </w:p>
    <w:p>
      <w:pPr>
        <w:pStyle w:val="BodyText"/>
        <w:rPr>
          <w:sz w:val="36"/>
        </w:rPr>
      </w:pPr>
      <w:r>
        <w:rPr/>
        <w:br w:type="column"/>
      </w:r>
      <w:r>
        <w:rPr>
          <w:sz w:val="36"/>
        </w:rPr>
      </w:r>
    </w:p>
    <w:p>
      <w:pPr>
        <w:pStyle w:val="BodyText"/>
        <w:rPr>
          <w:sz w:val="36"/>
        </w:rPr>
      </w:pPr>
    </w:p>
    <w:p>
      <w:pPr>
        <w:pStyle w:val="BodyText"/>
        <w:rPr>
          <w:sz w:val="36"/>
        </w:rPr>
      </w:pPr>
    </w:p>
    <w:p>
      <w:pPr>
        <w:pStyle w:val="BodyText"/>
        <w:rPr>
          <w:sz w:val="36"/>
        </w:rPr>
      </w:pPr>
    </w:p>
    <w:p>
      <w:pPr>
        <w:spacing w:before="287"/>
        <w:ind w:left="221" w:right="343" w:firstLine="0"/>
        <w:jc w:val="center"/>
        <w:rPr>
          <w:rFonts w:ascii="Calibri"/>
          <w:sz w:val="28"/>
        </w:rPr>
      </w:pPr>
      <w:bookmarkStart w:name="How to access information:" w:id="3"/>
      <w:bookmarkEnd w:id="3"/>
      <w:r>
        <w:rPr/>
      </w:r>
      <w:r>
        <w:rPr>
          <w:rFonts w:ascii="Calibri"/>
          <w:w w:val="120"/>
          <w:sz w:val="28"/>
        </w:rPr>
        <w:t>How to access information:</w:t>
      </w:r>
    </w:p>
    <w:p>
      <w:pPr>
        <w:spacing w:line="297" w:lineRule="auto" w:before="194"/>
        <w:ind w:left="231" w:right="342" w:firstLine="0"/>
        <w:jc w:val="center"/>
        <w:rPr>
          <w:rFonts w:ascii="Calibri" w:hAnsi="Calibri"/>
          <w:sz w:val="22"/>
        </w:rPr>
      </w:pPr>
      <w:r>
        <w:rPr>
          <w:rFonts w:ascii="Calibri" w:hAnsi="Calibri"/>
          <w:w w:val="120"/>
          <w:sz w:val="22"/>
        </w:rPr>
        <w:t>To check claims </w:t>
      </w:r>
      <w:r>
        <w:rPr>
          <w:rFonts w:ascii="Calibri" w:hAnsi="Calibri"/>
          <w:spacing w:val="-3"/>
          <w:w w:val="120"/>
          <w:sz w:val="22"/>
        </w:rPr>
        <w:t>status, </w:t>
      </w:r>
      <w:r>
        <w:rPr>
          <w:rFonts w:ascii="Calibri" w:hAnsi="Calibri"/>
          <w:w w:val="120"/>
          <w:sz w:val="22"/>
        </w:rPr>
        <w:t>ask beneﬁt questions, </w:t>
      </w:r>
      <w:r>
        <w:rPr>
          <w:rFonts w:ascii="Calibri" w:hAnsi="Calibri"/>
          <w:spacing w:val="-4"/>
          <w:w w:val="120"/>
          <w:sz w:val="22"/>
        </w:rPr>
        <w:t>locate </w:t>
      </w:r>
      <w:r>
        <w:rPr>
          <w:rFonts w:ascii="Calibri" w:hAnsi="Calibri"/>
          <w:w w:val="120"/>
          <w:sz w:val="22"/>
        </w:rPr>
        <w:t>a </w:t>
      </w:r>
      <w:r>
        <w:rPr>
          <w:rFonts w:ascii="Calibri" w:hAnsi="Calibri"/>
          <w:spacing w:val="-4"/>
          <w:w w:val="120"/>
          <w:sz w:val="22"/>
        </w:rPr>
        <w:t>provider </w:t>
      </w:r>
      <w:r>
        <w:rPr>
          <w:rFonts w:ascii="Calibri" w:hAnsi="Calibri"/>
          <w:w w:val="120"/>
          <w:sz w:val="22"/>
        </w:rPr>
        <w:t>in </w:t>
      </w:r>
      <w:r>
        <w:rPr>
          <w:rFonts w:ascii="Calibri" w:hAnsi="Calibri"/>
          <w:spacing w:val="-3"/>
          <w:w w:val="120"/>
          <w:sz w:val="22"/>
        </w:rPr>
        <w:t>the US, </w:t>
      </w:r>
      <w:r>
        <w:rPr>
          <w:rFonts w:ascii="Calibri" w:hAnsi="Calibri"/>
          <w:w w:val="120"/>
          <w:sz w:val="22"/>
        </w:rPr>
        <w:t>or to </w:t>
      </w:r>
      <w:r>
        <w:rPr>
          <w:rFonts w:ascii="Calibri" w:hAnsi="Calibri"/>
          <w:spacing w:val="-4"/>
          <w:w w:val="120"/>
          <w:sz w:val="22"/>
        </w:rPr>
        <w:t>inquire </w:t>
      </w:r>
      <w:r>
        <w:rPr>
          <w:rFonts w:ascii="Calibri" w:hAnsi="Calibri"/>
          <w:spacing w:val="-5"/>
          <w:w w:val="120"/>
          <w:sz w:val="22"/>
        </w:rPr>
        <w:t>about </w:t>
      </w:r>
      <w:r>
        <w:rPr>
          <w:rFonts w:ascii="Calibri" w:hAnsi="Calibri"/>
          <w:w w:val="120"/>
          <w:sz w:val="22"/>
        </w:rPr>
        <w:t>speciﬁc drug coverage under this policy:</w:t>
      </w:r>
    </w:p>
    <w:p>
      <w:pPr>
        <w:spacing w:before="122"/>
        <w:ind w:left="227" w:right="343" w:firstLine="0"/>
        <w:jc w:val="center"/>
        <w:rPr>
          <w:rFonts w:ascii="Calibri"/>
          <w:sz w:val="22"/>
        </w:rPr>
      </w:pPr>
      <w:r>
        <w:rPr>
          <w:rFonts w:ascii="Calibri"/>
          <w:w w:val="115"/>
          <w:sz w:val="22"/>
        </w:rPr>
        <w:t>888.714.6544</w:t>
      </w:r>
    </w:p>
    <w:p>
      <w:pPr>
        <w:spacing w:before="65"/>
        <w:ind w:left="228" w:right="343" w:firstLine="0"/>
        <w:jc w:val="center"/>
        <w:rPr>
          <w:rFonts w:ascii="Calibri"/>
          <w:sz w:val="22"/>
        </w:rPr>
      </w:pPr>
      <w:hyperlink r:id="rId8">
        <w:r>
          <w:rPr>
            <w:rFonts w:ascii="Calibri"/>
            <w:w w:val="125"/>
            <w:sz w:val="22"/>
          </w:rPr>
          <w:t>customerservice@uhcsr.com</w:t>
        </w:r>
      </w:hyperlink>
    </w:p>
    <w:p>
      <w:pPr>
        <w:spacing w:line="297" w:lineRule="auto" w:before="182"/>
        <w:ind w:left="231" w:right="343" w:firstLine="0"/>
        <w:jc w:val="center"/>
        <w:rPr>
          <w:rFonts w:ascii="Calibri"/>
          <w:sz w:val="20"/>
        </w:rPr>
      </w:pPr>
      <w:r>
        <w:rPr>
          <w:rFonts w:ascii="Calibri"/>
          <w:spacing w:val="-3"/>
          <w:w w:val="125"/>
          <w:sz w:val="20"/>
        </w:rPr>
        <w:t>For</w:t>
      </w:r>
      <w:r>
        <w:rPr>
          <w:rFonts w:ascii="Calibri"/>
          <w:spacing w:val="-20"/>
          <w:w w:val="125"/>
          <w:sz w:val="20"/>
        </w:rPr>
        <w:t> </w:t>
      </w:r>
      <w:r>
        <w:rPr>
          <w:rFonts w:ascii="Calibri"/>
          <w:spacing w:val="-4"/>
          <w:w w:val="125"/>
          <w:sz w:val="20"/>
        </w:rPr>
        <w:t>medical</w:t>
      </w:r>
      <w:r>
        <w:rPr>
          <w:rFonts w:ascii="Calibri"/>
          <w:spacing w:val="-20"/>
          <w:w w:val="125"/>
          <w:sz w:val="20"/>
        </w:rPr>
        <w:t> </w:t>
      </w:r>
      <w:r>
        <w:rPr>
          <w:rFonts w:ascii="Calibri"/>
          <w:spacing w:val="-5"/>
          <w:w w:val="125"/>
          <w:sz w:val="20"/>
        </w:rPr>
        <w:t>providers</w:t>
      </w:r>
      <w:r>
        <w:rPr>
          <w:rFonts w:ascii="Calibri"/>
          <w:spacing w:val="-18"/>
          <w:w w:val="125"/>
          <w:sz w:val="20"/>
        </w:rPr>
        <w:t> </w:t>
      </w:r>
      <w:r>
        <w:rPr>
          <w:rFonts w:ascii="Calibri"/>
          <w:spacing w:val="-3"/>
          <w:w w:val="125"/>
          <w:sz w:val="20"/>
        </w:rPr>
        <w:t>in</w:t>
      </w:r>
      <w:r>
        <w:rPr>
          <w:rFonts w:ascii="Calibri"/>
          <w:spacing w:val="-20"/>
          <w:w w:val="125"/>
          <w:sz w:val="20"/>
        </w:rPr>
        <w:t> </w:t>
      </w:r>
      <w:r>
        <w:rPr>
          <w:rFonts w:ascii="Calibri"/>
          <w:spacing w:val="-3"/>
          <w:w w:val="125"/>
          <w:sz w:val="20"/>
        </w:rPr>
        <w:t>the</w:t>
      </w:r>
      <w:r>
        <w:rPr>
          <w:rFonts w:ascii="Calibri"/>
          <w:spacing w:val="-19"/>
          <w:w w:val="125"/>
          <w:sz w:val="20"/>
        </w:rPr>
        <w:t> </w:t>
      </w:r>
      <w:r>
        <w:rPr>
          <w:rFonts w:ascii="Calibri"/>
          <w:spacing w:val="-4"/>
          <w:w w:val="125"/>
          <w:sz w:val="20"/>
        </w:rPr>
        <w:t>US,</w:t>
      </w:r>
      <w:r>
        <w:rPr>
          <w:rFonts w:ascii="Calibri"/>
          <w:spacing w:val="-19"/>
          <w:w w:val="125"/>
          <w:sz w:val="20"/>
        </w:rPr>
        <w:t> </w:t>
      </w:r>
      <w:r>
        <w:rPr>
          <w:rFonts w:ascii="Calibri"/>
          <w:spacing w:val="-5"/>
          <w:w w:val="125"/>
          <w:sz w:val="20"/>
        </w:rPr>
        <w:t>please</w:t>
      </w:r>
      <w:r>
        <w:rPr>
          <w:rFonts w:ascii="Calibri"/>
          <w:spacing w:val="-19"/>
          <w:w w:val="125"/>
          <w:sz w:val="20"/>
        </w:rPr>
        <w:t> </w:t>
      </w:r>
      <w:r>
        <w:rPr>
          <w:rFonts w:ascii="Calibri"/>
          <w:spacing w:val="-4"/>
          <w:w w:val="125"/>
          <w:sz w:val="20"/>
        </w:rPr>
        <w:t>log</w:t>
      </w:r>
      <w:r>
        <w:rPr>
          <w:rFonts w:ascii="Calibri"/>
          <w:spacing w:val="-18"/>
          <w:w w:val="125"/>
          <w:sz w:val="20"/>
        </w:rPr>
        <w:t> </w:t>
      </w:r>
      <w:r>
        <w:rPr>
          <w:rFonts w:ascii="Calibri"/>
          <w:spacing w:val="-3"/>
          <w:w w:val="125"/>
          <w:sz w:val="20"/>
        </w:rPr>
        <w:t>in</w:t>
      </w:r>
      <w:r>
        <w:rPr>
          <w:rFonts w:ascii="Calibri"/>
          <w:spacing w:val="-15"/>
          <w:w w:val="125"/>
          <w:sz w:val="20"/>
        </w:rPr>
        <w:t> </w:t>
      </w:r>
      <w:r>
        <w:rPr>
          <w:rFonts w:ascii="Calibri"/>
          <w:w w:val="125"/>
          <w:sz w:val="20"/>
        </w:rPr>
        <w:t>to</w:t>
      </w:r>
      <w:r>
        <w:rPr>
          <w:rFonts w:ascii="Calibri"/>
          <w:spacing w:val="-13"/>
          <w:w w:val="125"/>
          <w:sz w:val="20"/>
        </w:rPr>
        <w:t> </w:t>
      </w:r>
      <w:r>
        <w:rPr>
          <w:rFonts w:ascii="Calibri"/>
          <w:w w:val="125"/>
          <w:sz w:val="20"/>
        </w:rPr>
        <w:t>your myuhc.com account and then click Find a</w:t>
      </w:r>
      <w:r>
        <w:rPr>
          <w:rFonts w:ascii="Calibri"/>
          <w:spacing w:val="-25"/>
          <w:w w:val="125"/>
          <w:sz w:val="20"/>
        </w:rPr>
        <w:t> </w:t>
      </w:r>
      <w:r>
        <w:rPr>
          <w:rFonts w:ascii="Calibri"/>
          <w:w w:val="125"/>
          <w:sz w:val="20"/>
        </w:rPr>
        <w:t>Doctor.</w:t>
      </w:r>
    </w:p>
    <w:p>
      <w:pPr>
        <w:spacing w:line="297" w:lineRule="auto" w:before="121"/>
        <w:ind w:left="1493" w:right="1606" w:firstLine="0"/>
        <w:jc w:val="center"/>
        <w:rPr>
          <w:rFonts w:ascii="Calibri"/>
          <w:sz w:val="20"/>
        </w:rPr>
      </w:pPr>
      <w:r>
        <w:rPr>
          <w:rFonts w:ascii="Calibri"/>
          <w:w w:val="120"/>
          <w:sz w:val="20"/>
        </w:rPr>
        <w:t>To create or login to your UHC student account:</w:t>
      </w:r>
    </w:p>
    <w:p>
      <w:pPr>
        <w:spacing w:line="297" w:lineRule="auto" w:before="121"/>
        <w:ind w:left="256" w:right="369" w:firstLine="5"/>
        <w:jc w:val="center"/>
        <w:rPr>
          <w:rFonts w:ascii="Calibri" w:hAnsi="Calibri"/>
          <w:sz w:val="20"/>
        </w:rPr>
      </w:pPr>
      <w:r>
        <w:rPr>
          <w:rFonts w:ascii="Calibri" w:hAnsi="Calibri"/>
          <w:spacing w:val="-6"/>
          <w:w w:val="125"/>
          <w:sz w:val="20"/>
        </w:rPr>
        <w:t>Please visit </w:t>
      </w:r>
      <w:r>
        <w:rPr>
          <w:rFonts w:ascii="Calibri" w:hAnsi="Calibri"/>
          <w:spacing w:val="-7"/>
          <w:w w:val="125"/>
          <w:sz w:val="20"/>
        </w:rPr>
        <w:t>myaccount.uhcsr.com </w:t>
      </w:r>
      <w:r>
        <w:rPr>
          <w:rFonts w:ascii="Calibri" w:hAnsi="Calibri"/>
          <w:spacing w:val="-4"/>
          <w:w w:val="125"/>
          <w:sz w:val="20"/>
        </w:rPr>
        <w:t>or </w:t>
      </w:r>
      <w:r>
        <w:rPr>
          <w:rFonts w:ascii="Calibri" w:hAnsi="Calibri"/>
          <w:spacing w:val="-6"/>
          <w:w w:val="125"/>
          <w:sz w:val="20"/>
        </w:rPr>
        <w:t>download </w:t>
      </w:r>
      <w:r>
        <w:rPr>
          <w:rFonts w:ascii="Calibri" w:hAnsi="Calibri"/>
          <w:w w:val="125"/>
          <w:sz w:val="20"/>
        </w:rPr>
        <w:t>UHC’s mobile app from your smartphone</w:t>
      </w:r>
      <w:r>
        <w:rPr>
          <w:rFonts w:ascii="Calibri" w:hAnsi="Calibri"/>
          <w:spacing w:val="-37"/>
          <w:w w:val="125"/>
          <w:sz w:val="20"/>
        </w:rPr>
        <w:t> </w:t>
      </w:r>
      <w:r>
        <w:rPr>
          <w:rFonts w:ascii="Calibri" w:hAnsi="Calibri"/>
          <w:w w:val="125"/>
          <w:sz w:val="20"/>
        </w:rPr>
        <w:t>(UHCSR Mobile</w:t>
      </w:r>
      <w:r>
        <w:rPr>
          <w:rFonts w:ascii="Calibri" w:hAnsi="Calibri"/>
          <w:spacing w:val="-17"/>
          <w:w w:val="125"/>
          <w:sz w:val="20"/>
        </w:rPr>
        <w:t> </w:t>
      </w:r>
      <w:r>
        <w:rPr>
          <w:rFonts w:ascii="Calibri" w:hAnsi="Calibri"/>
          <w:w w:val="125"/>
          <w:sz w:val="20"/>
        </w:rPr>
        <w:t>App)</w:t>
      </w:r>
      <w:r>
        <w:rPr>
          <w:rFonts w:ascii="Calibri" w:hAnsi="Calibri"/>
          <w:spacing w:val="-18"/>
          <w:w w:val="125"/>
          <w:sz w:val="20"/>
        </w:rPr>
        <w:t> </w:t>
      </w:r>
      <w:r>
        <w:rPr>
          <w:rFonts w:ascii="Calibri" w:hAnsi="Calibri"/>
          <w:w w:val="125"/>
          <w:sz w:val="20"/>
        </w:rPr>
        <w:t>available</w:t>
      </w:r>
      <w:r>
        <w:rPr>
          <w:rFonts w:ascii="Calibri" w:hAnsi="Calibri"/>
          <w:spacing w:val="-16"/>
          <w:w w:val="125"/>
          <w:sz w:val="20"/>
        </w:rPr>
        <w:t> </w:t>
      </w:r>
      <w:r>
        <w:rPr>
          <w:rFonts w:ascii="Calibri" w:hAnsi="Calibri"/>
          <w:w w:val="125"/>
          <w:sz w:val="20"/>
        </w:rPr>
        <w:t>on</w:t>
      </w:r>
      <w:r>
        <w:rPr>
          <w:rFonts w:ascii="Calibri" w:hAnsi="Calibri"/>
          <w:spacing w:val="-16"/>
          <w:w w:val="125"/>
          <w:sz w:val="20"/>
        </w:rPr>
        <w:t> </w:t>
      </w:r>
      <w:r>
        <w:rPr>
          <w:rFonts w:ascii="Calibri" w:hAnsi="Calibri"/>
          <w:w w:val="125"/>
          <w:sz w:val="20"/>
        </w:rPr>
        <w:t>the</w:t>
      </w:r>
      <w:r>
        <w:rPr>
          <w:rFonts w:ascii="Calibri" w:hAnsi="Calibri"/>
          <w:spacing w:val="-17"/>
          <w:w w:val="125"/>
          <w:sz w:val="20"/>
        </w:rPr>
        <w:t> </w:t>
      </w:r>
      <w:r>
        <w:rPr>
          <w:rFonts w:ascii="Calibri" w:hAnsi="Calibri"/>
          <w:w w:val="125"/>
          <w:sz w:val="20"/>
        </w:rPr>
        <w:t>App</w:t>
      </w:r>
      <w:r>
        <w:rPr>
          <w:rFonts w:ascii="Calibri" w:hAnsi="Calibri"/>
          <w:spacing w:val="-16"/>
          <w:w w:val="125"/>
          <w:sz w:val="20"/>
        </w:rPr>
        <w:t> </w:t>
      </w:r>
      <w:r>
        <w:rPr>
          <w:rFonts w:ascii="Calibri" w:hAnsi="Calibri"/>
          <w:w w:val="125"/>
          <w:sz w:val="20"/>
        </w:rPr>
        <w:t>Store</w:t>
      </w:r>
      <w:r>
        <w:rPr>
          <w:rFonts w:ascii="Calibri" w:hAnsi="Calibri"/>
          <w:spacing w:val="-16"/>
          <w:w w:val="125"/>
          <w:sz w:val="20"/>
        </w:rPr>
        <w:t> </w:t>
      </w:r>
      <w:r>
        <w:rPr>
          <w:rFonts w:ascii="Calibri" w:hAnsi="Calibri"/>
          <w:w w:val="125"/>
          <w:sz w:val="20"/>
        </w:rPr>
        <w:t>or</w:t>
      </w:r>
      <w:r>
        <w:rPr>
          <w:rFonts w:ascii="Calibri" w:hAnsi="Calibri"/>
          <w:spacing w:val="-16"/>
          <w:w w:val="125"/>
          <w:sz w:val="20"/>
        </w:rPr>
        <w:t> </w:t>
      </w:r>
      <w:r>
        <w:rPr>
          <w:rFonts w:ascii="Calibri" w:hAnsi="Calibri"/>
          <w:w w:val="125"/>
          <w:sz w:val="20"/>
        </w:rPr>
        <w:t>Google play.</w:t>
      </w:r>
    </w:p>
    <w:p>
      <w:pPr>
        <w:spacing w:before="127"/>
        <w:ind w:left="231" w:right="342" w:firstLine="0"/>
        <w:jc w:val="center"/>
        <w:rPr>
          <w:rFonts w:ascii="Calibri"/>
          <w:sz w:val="22"/>
        </w:rPr>
      </w:pPr>
      <w:r>
        <w:rPr>
          <w:rFonts w:ascii="Calibri"/>
          <w:w w:val="125"/>
          <w:sz w:val="22"/>
        </w:rPr>
        <w:t>Your UHC student account allows you to:</w:t>
      </w:r>
    </w:p>
    <w:p>
      <w:pPr>
        <w:pStyle w:val="ListParagraph"/>
        <w:numPr>
          <w:ilvl w:val="0"/>
          <w:numId w:val="2"/>
        </w:numPr>
        <w:tabs>
          <w:tab w:pos="240" w:val="left" w:leader="none"/>
        </w:tabs>
        <w:spacing w:line="240" w:lineRule="auto" w:before="189" w:after="0"/>
        <w:ind w:left="239" w:right="0" w:hanging="173"/>
        <w:jc w:val="left"/>
        <w:rPr>
          <w:sz w:val="20"/>
        </w:rPr>
      </w:pPr>
      <w:r>
        <w:rPr>
          <w:spacing w:val="-5"/>
          <w:w w:val="125"/>
          <w:sz w:val="20"/>
        </w:rPr>
        <w:t>View and </w:t>
      </w:r>
      <w:r>
        <w:rPr>
          <w:spacing w:val="-6"/>
          <w:w w:val="125"/>
          <w:sz w:val="20"/>
        </w:rPr>
        <w:t>download </w:t>
      </w:r>
      <w:r>
        <w:rPr>
          <w:spacing w:val="-5"/>
          <w:w w:val="125"/>
          <w:sz w:val="20"/>
        </w:rPr>
        <w:t>your</w:t>
      </w:r>
      <w:r>
        <w:rPr>
          <w:spacing w:val="-44"/>
          <w:w w:val="125"/>
          <w:sz w:val="20"/>
        </w:rPr>
        <w:t> </w:t>
      </w:r>
      <w:r>
        <w:rPr>
          <w:spacing w:val="-7"/>
          <w:w w:val="125"/>
          <w:sz w:val="20"/>
        </w:rPr>
        <w:t>insurance </w:t>
      </w:r>
      <w:r>
        <w:rPr>
          <w:spacing w:val="-5"/>
          <w:w w:val="125"/>
          <w:sz w:val="20"/>
        </w:rPr>
        <w:t>card</w:t>
      </w:r>
    </w:p>
    <w:p>
      <w:pPr>
        <w:pStyle w:val="ListParagraph"/>
        <w:numPr>
          <w:ilvl w:val="0"/>
          <w:numId w:val="2"/>
        </w:numPr>
        <w:tabs>
          <w:tab w:pos="240" w:val="left" w:leader="none"/>
        </w:tabs>
        <w:spacing w:line="240" w:lineRule="auto" w:before="54" w:after="0"/>
        <w:ind w:left="239" w:right="0" w:hanging="173"/>
        <w:jc w:val="left"/>
        <w:rPr>
          <w:sz w:val="20"/>
        </w:rPr>
      </w:pPr>
      <w:r>
        <w:rPr>
          <w:spacing w:val="-4"/>
          <w:w w:val="125"/>
          <w:sz w:val="20"/>
        </w:rPr>
        <w:t>Review</w:t>
      </w:r>
      <w:r>
        <w:rPr>
          <w:spacing w:val="-19"/>
          <w:w w:val="125"/>
          <w:sz w:val="20"/>
        </w:rPr>
        <w:t> </w:t>
      </w:r>
      <w:r>
        <w:rPr>
          <w:spacing w:val="-4"/>
          <w:w w:val="125"/>
          <w:sz w:val="20"/>
        </w:rPr>
        <w:t>claims</w:t>
      </w:r>
      <w:r>
        <w:rPr>
          <w:spacing w:val="-19"/>
          <w:w w:val="125"/>
          <w:sz w:val="20"/>
        </w:rPr>
        <w:t> </w:t>
      </w:r>
      <w:r>
        <w:rPr>
          <w:spacing w:val="-3"/>
          <w:w w:val="125"/>
          <w:sz w:val="20"/>
        </w:rPr>
        <w:t>and</w:t>
      </w:r>
      <w:r>
        <w:rPr>
          <w:spacing w:val="-18"/>
          <w:w w:val="125"/>
          <w:sz w:val="20"/>
        </w:rPr>
        <w:t> </w:t>
      </w:r>
      <w:r>
        <w:rPr>
          <w:spacing w:val="-5"/>
          <w:w w:val="125"/>
          <w:sz w:val="20"/>
        </w:rPr>
        <w:t>dates</w:t>
      </w:r>
      <w:r>
        <w:rPr>
          <w:spacing w:val="-19"/>
          <w:w w:val="125"/>
          <w:sz w:val="20"/>
        </w:rPr>
        <w:t> </w:t>
      </w:r>
      <w:r>
        <w:rPr>
          <w:w w:val="125"/>
          <w:sz w:val="20"/>
        </w:rPr>
        <w:t>of</w:t>
      </w:r>
      <w:r>
        <w:rPr>
          <w:spacing w:val="-19"/>
          <w:w w:val="125"/>
          <w:sz w:val="20"/>
        </w:rPr>
        <w:t> </w:t>
      </w:r>
      <w:r>
        <w:rPr>
          <w:spacing w:val="-5"/>
          <w:w w:val="125"/>
          <w:sz w:val="20"/>
        </w:rPr>
        <w:t>service</w:t>
      </w:r>
    </w:p>
    <w:p>
      <w:pPr>
        <w:pStyle w:val="ListParagraph"/>
        <w:numPr>
          <w:ilvl w:val="0"/>
          <w:numId w:val="2"/>
        </w:numPr>
        <w:tabs>
          <w:tab w:pos="240" w:val="left" w:leader="none"/>
        </w:tabs>
        <w:spacing w:line="240" w:lineRule="auto" w:before="53" w:after="0"/>
        <w:ind w:left="239" w:right="0" w:hanging="173"/>
        <w:jc w:val="left"/>
        <w:rPr>
          <w:sz w:val="20"/>
        </w:rPr>
      </w:pPr>
      <w:r>
        <w:rPr>
          <w:spacing w:val="-4"/>
          <w:w w:val="125"/>
          <w:sz w:val="20"/>
        </w:rPr>
        <w:t>Locate </w:t>
      </w:r>
      <w:r>
        <w:rPr>
          <w:spacing w:val="-5"/>
          <w:w w:val="125"/>
          <w:sz w:val="20"/>
        </w:rPr>
        <w:t>participating</w:t>
      </w:r>
      <w:r>
        <w:rPr>
          <w:spacing w:val="-34"/>
          <w:w w:val="125"/>
          <w:sz w:val="20"/>
        </w:rPr>
        <w:t> </w:t>
      </w:r>
      <w:r>
        <w:rPr>
          <w:spacing w:val="-5"/>
          <w:w w:val="125"/>
          <w:sz w:val="20"/>
        </w:rPr>
        <w:t>providers</w:t>
      </w:r>
    </w:p>
    <w:p>
      <w:pPr>
        <w:spacing w:after="0" w:line="240" w:lineRule="auto"/>
        <w:jc w:val="left"/>
        <w:rPr>
          <w:sz w:val="20"/>
        </w:rPr>
        <w:sectPr>
          <w:type w:val="continuous"/>
          <w:pgSz w:w="12240" w:h="15840"/>
          <w:pgMar w:top="340" w:bottom="280" w:left="300" w:right="300"/>
          <w:cols w:num="2" w:equalWidth="0">
            <w:col w:w="5989" w:space="40"/>
            <w:col w:w="5611"/>
          </w:cols>
        </w:sectPr>
      </w:pPr>
    </w:p>
    <w:p>
      <w:pPr>
        <w:pStyle w:val="BodyText"/>
        <w:spacing w:before="8"/>
        <w:rPr>
          <w:rFonts w:ascii="Calibri"/>
          <w:sz w:val="17"/>
        </w:rPr>
      </w:pPr>
    </w:p>
    <w:p>
      <w:pPr>
        <w:spacing w:line="244" w:lineRule="auto" w:before="102"/>
        <w:ind w:left="6857" w:right="504" w:hanging="3"/>
        <w:jc w:val="center"/>
        <w:rPr>
          <w:sz w:val="22"/>
        </w:rPr>
      </w:pPr>
      <w:r>
        <w:rPr>
          <w:rFonts w:ascii="Calibri" w:hAnsi="Calibri"/>
          <w:color w:val="FFFFFF"/>
          <w:w w:val="105"/>
          <w:sz w:val="22"/>
        </w:rPr>
        <w:t>For further details of the coverage     including cost, beneﬁts, exclusions, and </w:t>
      </w:r>
      <w:r>
        <w:rPr>
          <w:color w:val="FFFFFF"/>
          <w:w w:val="105"/>
          <w:sz w:val="22"/>
        </w:rPr>
        <w:t>reductions or limitations and the terms under which the policy may be continued in</w:t>
      </w:r>
      <w:r>
        <w:rPr>
          <w:color w:val="FFFFFF"/>
          <w:spacing w:val="-18"/>
          <w:w w:val="105"/>
          <w:sz w:val="22"/>
        </w:rPr>
        <w:t> </w:t>
      </w:r>
      <w:r>
        <w:rPr>
          <w:rFonts w:ascii="Calibri" w:hAnsi="Calibri"/>
          <w:color w:val="FFFFFF"/>
          <w:w w:val="105"/>
          <w:sz w:val="22"/>
        </w:rPr>
        <w:t>force,</w:t>
      </w:r>
      <w:r>
        <w:rPr>
          <w:rFonts w:ascii="Calibri" w:hAnsi="Calibri"/>
          <w:color w:val="FFFFFF"/>
          <w:spacing w:val="-4"/>
          <w:w w:val="105"/>
          <w:sz w:val="22"/>
        </w:rPr>
        <w:t> </w:t>
      </w:r>
      <w:r>
        <w:rPr>
          <w:color w:val="FFFFFF"/>
          <w:w w:val="105"/>
          <w:sz w:val="22"/>
        </w:rPr>
        <w:t>please</w:t>
      </w:r>
      <w:r>
        <w:rPr>
          <w:color w:val="FFFFFF"/>
          <w:spacing w:val="-17"/>
          <w:w w:val="105"/>
          <w:sz w:val="22"/>
        </w:rPr>
        <w:t> </w:t>
      </w:r>
      <w:r>
        <w:rPr>
          <w:rFonts w:ascii="Calibri" w:hAnsi="Calibri"/>
          <w:color w:val="FFFFFF"/>
          <w:w w:val="105"/>
          <w:sz w:val="22"/>
        </w:rPr>
        <w:t>refer</w:t>
      </w:r>
      <w:r>
        <w:rPr>
          <w:rFonts w:ascii="Calibri" w:hAnsi="Calibri"/>
          <w:color w:val="FFFFFF"/>
          <w:spacing w:val="-6"/>
          <w:w w:val="105"/>
          <w:sz w:val="22"/>
        </w:rPr>
        <w:t> </w:t>
      </w:r>
      <w:r>
        <w:rPr>
          <w:color w:val="FFFFFF"/>
          <w:w w:val="105"/>
          <w:sz w:val="22"/>
        </w:rPr>
        <w:t>to</w:t>
      </w:r>
      <w:r>
        <w:rPr>
          <w:color w:val="FFFFFF"/>
          <w:spacing w:val="-17"/>
          <w:w w:val="105"/>
          <w:sz w:val="22"/>
        </w:rPr>
        <w:t> </w:t>
      </w:r>
      <w:r>
        <w:rPr>
          <w:color w:val="FFFFFF"/>
          <w:w w:val="105"/>
          <w:sz w:val="22"/>
        </w:rPr>
        <w:t>the</w:t>
      </w:r>
      <w:r>
        <w:rPr>
          <w:color w:val="FFFFFF"/>
          <w:spacing w:val="-17"/>
          <w:w w:val="105"/>
          <w:sz w:val="22"/>
        </w:rPr>
        <w:t> </w:t>
      </w:r>
      <w:r>
        <w:rPr>
          <w:color w:val="FFFFFF"/>
          <w:w w:val="105"/>
          <w:sz w:val="22"/>
        </w:rPr>
        <w:t>overview</w:t>
      </w:r>
      <w:r>
        <w:rPr>
          <w:color w:val="FFFFFF"/>
          <w:spacing w:val="-19"/>
          <w:w w:val="105"/>
          <w:sz w:val="22"/>
        </w:rPr>
        <w:t> </w:t>
      </w:r>
      <w:r>
        <w:rPr>
          <w:color w:val="FFFFFF"/>
          <w:spacing w:val="-3"/>
          <w:w w:val="105"/>
          <w:sz w:val="22"/>
        </w:rPr>
        <w:t>policy.</w:t>
      </w:r>
    </w:p>
    <w:p>
      <w:pPr>
        <w:spacing w:after="0" w:line="244" w:lineRule="auto"/>
        <w:jc w:val="center"/>
        <w:rPr>
          <w:sz w:val="22"/>
        </w:rPr>
        <w:sectPr>
          <w:type w:val="continuous"/>
          <w:pgSz w:w="12240" w:h="15840"/>
          <w:pgMar w:top="340" w:bottom="280" w:left="300" w:right="300"/>
        </w:sectPr>
      </w:pPr>
    </w:p>
    <w:p>
      <w:pPr>
        <w:spacing w:line="271" w:lineRule="auto" w:before="113"/>
        <w:ind w:left="3616" w:right="636" w:hanging="1834"/>
        <w:jc w:val="left"/>
        <w:rPr>
          <w:rFonts w:ascii="Calibri" w:hAnsi="Calibri"/>
          <w:sz w:val="40"/>
        </w:rPr>
      </w:pPr>
      <w:r>
        <w:rPr>
          <w:rFonts w:ascii="Calibri" w:hAnsi="Calibri"/>
          <w:w w:val="120"/>
          <w:sz w:val="40"/>
        </w:rPr>
        <w:t>2026-2027 SUNY International Inbound Summary of Beneﬁts</w:t>
      </w:r>
    </w:p>
    <w:p>
      <w:pPr>
        <w:pStyle w:val="BodyText"/>
        <w:spacing w:before="5"/>
        <w:rPr>
          <w:rFonts w:ascii="Calibri"/>
          <w:sz w:val="14"/>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0"/>
        <w:gridCol w:w="3600"/>
        <w:gridCol w:w="3150"/>
      </w:tblGrid>
      <w:tr>
        <w:trPr>
          <w:trHeight w:val="576" w:hRule="atLeast"/>
        </w:trPr>
        <w:tc>
          <w:tcPr>
            <w:tcW w:w="3330" w:type="dxa"/>
            <w:shd w:val="clear" w:color="auto" w:fill="1F618D"/>
          </w:tcPr>
          <w:p>
            <w:pPr>
              <w:pStyle w:val="TableParagraph"/>
              <w:spacing w:before="21"/>
              <w:ind w:right="222"/>
              <w:rPr>
                <w:b/>
                <w:sz w:val="22"/>
              </w:rPr>
            </w:pPr>
            <w:r>
              <w:rPr>
                <w:b/>
                <w:color w:val="FFFFFF"/>
                <w:sz w:val="22"/>
              </w:rPr>
              <w:t>Plan Design</w:t>
            </w:r>
          </w:p>
          <w:p>
            <w:pPr>
              <w:pStyle w:val="TableParagraph"/>
              <w:spacing w:before="5"/>
              <w:ind w:right="221"/>
              <w:rPr>
                <w:b/>
                <w:sz w:val="22"/>
              </w:rPr>
            </w:pPr>
            <w:r>
              <w:rPr>
                <w:b/>
                <w:color w:val="FFFFFF"/>
                <w:sz w:val="22"/>
              </w:rPr>
              <w:t>(Per Person, Annually)</w:t>
            </w:r>
          </w:p>
        </w:tc>
        <w:tc>
          <w:tcPr>
            <w:tcW w:w="3600" w:type="dxa"/>
            <w:shd w:val="clear" w:color="auto" w:fill="1F618D"/>
          </w:tcPr>
          <w:p>
            <w:pPr>
              <w:pStyle w:val="TableParagraph"/>
              <w:ind w:left="145" w:right="136"/>
              <w:rPr>
                <w:b/>
                <w:sz w:val="22"/>
              </w:rPr>
            </w:pPr>
            <w:r>
              <w:rPr>
                <w:b/>
                <w:color w:val="FFFFFF"/>
                <w:w w:val="105"/>
                <w:sz w:val="22"/>
              </w:rPr>
              <w:t>In-Network</w:t>
            </w:r>
          </w:p>
        </w:tc>
        <w:tc>
          <w:tcPr>
            <w:tcW w:w="3150" w:type="dxa"/>
            <w:shd w:val="clear" w:color="auto" w:fill="1F618D"/>
          </w:tcPr>
          <w:p>
            <w:pPr>
              <w:pStyle w:val="TableParagraph"/>
              <w:ind w:left="209"/>
              <w:rPr>
                <w:b/>
                <w:sz w:val="22"/>
              </w:rPr>
            </w:pPr>
            <w:r>
              <w:rPr>
                <w:b/>
                <w:color w:val="FFFFFF"/>
                <w:w w:val="105"/>
                <w:sz w:val="22"/>
              </w:rPr>
              <w:t>Out-of-Network</w:t>
            </w:r>
          </w:p>
        </w:tc>
      </w:tr>
      <w:tr>
        <w:trPr>
          <w:trHeight w:val="575" w:hRule="atLeast"/>
        </w:trPr>
        <w:tc>
          <w:tcPr>
            <w:tcW w:w="3330" w:type="dxa"/>
          </w:tcPr>
          <w:p>
            <w:pPr>
              <w:pStyle w:val="TableParagraph"/>
              <w:ind w:right="220"/>
              <w:rPr>
                <w:b/>
                <w:sz w:val="22"/>
              </w:rPr>
            </w:pPr>
            <w:r>
              <w:rPr>
                <w:b/>
                <w:w w:val="105"/>
                <w:sz w:val="22"/>
              </w:rPr>
              <w:t>Annual Deductible</w:t>
            </w:r>
          </w:p>
        </w:tc>
        <w:tc>
          <w:tcPr>
            <w:tcW w:w="3600" w:type="dxa"/>
          </w:tcPr>
          <w:p>
            <w:pPr>
              <w:pStyle w:val="TableParagraph"/>
              <w:spacing w:before="161"/>
              <w:ind w:left="145" w:right="135"/>
              <w:rPr>
                <w:sz w:val="22"/>
              </w:rPr>
            </w:pPr>
            <w:r>
              <w:rPr>
                <w:w w:val="105"/>
                <w:sz w:val="22"/>
              </w:rPr>
              <w:t>$100</w:t>
            </w:r>
          </w:p>
        </w:tc>
        <w:tc>
          <w:tcPr>
            <w:tcW w:w="3150" w:type="dxa"/>
          </w:tcPr>
          <w:p>
            <w:pPr>
              <w:pStyle w:val="TableParagraph"/>
              <w:spacing w:before="161"/>
              <w:ind w:left="208"/>
              <w:rPr>
                <w:sz w:val="22"/>
              </w:rPr>
            </w:pPr>
            <w:r>
              <w:rPr>
                <w:w w:val="105"/>
                <w:sz w:val="22"/>
              </w:rPr>
              <w:t>$400</w:t>
            </w:r>
          </w:p>
        </w:tc>
      </w:tr>
      <w:tr>
        <w:trPr>
          <w:trHeight w:val="575" w:hRule="atLeast"/>
        </w:trPr>
        <w:tc>
          <w:tcPr>
            <w:tcW w:w="3330" w:type="dxa"/>
          </w:tcPr>
          <w:p>
            <w:pPr>
              <w:pStyle w:val="TableParagraph"/>
              <w:ind w:right="220"/>
              <w:rPr>
                <w:b/>
                <w:sz w:val="22"/>
              </w:rPr>
            </w:pPr>
            <w:r>
              <w:rPr>
                <w:b/>
                <w:sz w:val="22"/>
              </w:rPr>
              <w:t>Coinsurance</w:t>
            </w:r>
          </w:p>
        </w:tc>
        <w:tc>
          <w:tcPr>
            <w:tcW w:w="3600" w:type="dxa"/>
          </w:tcPr>
          <w:p>
            <w:pPr>
              <w:pStyle w:val="TableParagraph"/>
              <w:spacing w:before="161"/>
              <w:ind w:left="144" w:right="137"/>
              <w:rPr>
                <w:sz w:val="22"/>
              </w:rPr>
            </w:pPr>
            <w:r>
              <w:rPr>
                <w:sz w:val="22"/>
              </w:rPr>
              <w:t>0%</w:t>
            </w:r>
          </w:p>
        </w:tc>
        <w:tc>
          <w:tcPr>
            <w:tcW w:w="3150" w:type="dxa"/>
          </w:tcPr>
          <w:p>
            <w:pPr>
              <w:pStyle w:val="TableParagraph"/>
              <w:spacing w:before="162"/>
              <w:ind w:left="208"/>
              <w:rPr>
                <w:sz w:val="22"/>
              </w:rPr>
            </w:pPr>
            <w:r>
              <w:rPr>
                <w:sz w:val="22"/>
              </w:rPr>
              <w:t>10%</w:t>
            </w:r>
          </w:p>
        </w:tc>
      </w:tr>
      <w:tr>
        <w:trPr>
          <w:trHeight w:val="576" w:hRule="atLeast"/>
        </w:trPr>
        <w:tc>
          <w:tcPr>
            <w:tcW w:w="3330" w:type="dxa"/>
          </w:tcPr>
          <w:p>
            <w:pPr>
              <w:pStyle w:val="TableParagraph"/>
              <w:ind w:right="222"/>
              <w:rPr>
                <w:b/>
                <w:sz w:val="22"/>
              </w:rPr>
            </w:pPr>
            <w:r>
              <w:rPr>
                <w:b/>
                <w:w w:val="105"/>
                <w:sz w:val="22"/>
              </w:rPr>
              <w:t>In-Patient Hospital Care</w:t>
            </w:r>
          </w:p>
        </w:tc>
        <w:tc>
          <w:tcPr>
            <w:tcW w:w="3600" w:type="dxa"/>
          </w:tcPr>
          <w:p>
            <w:pPr>
              <w:pStyle w:val="TableParagraph"/>
              <w:spacing w:before="156"/>
              <w:ind w:left="145" w:right="137"/>
              <w:rPr>
                <w:sz w:val="22"/>
              </w:rPr>
            </w:pPr>
            <w:r>
              <w:rPr>
                <w:w w:val="105"/>
                <w:sz w:val="22"/>
              </w:rPr>
              <w:t>0% coinsurance </w:t>
            </w:r>
            <w:r>
              <w:rPr>
                <w:rFonts w:ascii="Calibri"/>
                <w:w w:val="105"/>
                <w:sz w:val="22"/>
              </w:rPr>
              <w:t>after </w:t>
            </w:r>
            <w:r>
              <w:rPr>
                <w:w w:val="105"/>
                <w:sz w:val="22"/>
              </w:rPr>
              <w:t>deductible</w:t>
            </w:r>
          </w:p>
        </w:tc>
        <w:tc>
          <w:tcPr>
            <w:tcW w:w="3150" w:type="dxa"/>
          </w:tcPr>
          <w:p>
            <w:pPr>
              <w:pStyle w:val="TableParagraph"/>
              <w:spacing w:line="242" w:lineRule="auto" w:before="23"/>
              <w:ind w:left="1039" w:right="452" w:hanging="560"/>
              <w:jc w:val="left"/>
              <w:rPr>
                <w:sz w:val="22"/>
              </w:rPr>
            </w:pPr>
            <w:r>
              <w:rPr>
                <w:w w:val="105"/>
                <w:sz w:val="22"/>
              </w:rPr>
              <w:t>10%</w:t>
            </w:r>
            <w:r>
              <w:rPr>
                <w:spacing w:val="-51"/>
                <w:w w:val="105"/>
                <w:sz w:val="22"/>
              </w:rPr>
              <w:t> </w:t>
            </w:r>
            <w:r>
              <w:rPr>
                <w:w w:val="105"/>
                <w:sz w:val="22"/>
              </w:rPr>
              <w:t>coinsurance</w:t>
            </w:r>
            <w:r>
              <w:rPr>
                <w:spacing w:val="-51"/>
                <w:w w:val="105"/>
                <w:sz w:val="22"/>
              </w:rPr>
              <w:t> </w:t>
            </w:r>
            <w:r>
              <w:rPr>
                <w:rFonts w:ascii="Calibri"/>
                <w:w w:val="105"/>
                <w:sz w:val="22"/>
              </w:rPr>
              <w:t>after </w:t>
            </w:r>
            <w:r>
              <w:rPr>
                <w:spacing w:val="-3"/>
                <w:w w:val="105"/>
                <w:sz w:val="22"/>
              </w:rPr>
              <w:t>deductible</w:t>
            </w:r>
          </w:p>
        </w:tc>
      </w:tr>
      <w:tr>
        <w:trPr>
          <w:trHeight w:val="575" w:hRule="atLeast"/>
        </w:trPr>
        <w:tc>
          <w:tcPr>
            <w:tcW w:w="3330" w:type="dxa"/>
          </w:tcPr>
          <w:p>
            <w:pPr>
              <w:pStyle w:val="TableParagraph"/>
              <w:spacing w:before="156"/>
              <w:ind w:right="223"/>
              <w:rPr>
                <w:rFonts w:ascii="Calibri" w:hAnsi="Calibri"/>
                <w:b/>
                <w:sz w:val="22"/>
              </w:rPr>
            </w:pPr>
            <w:r>
              <w:rPr>
                <w:rFonts w:ascii="Calibri" w:hAnsi="Calibri"/>
                <w:b/>
                <w:w w:val="120"/>
                <w:sz w:val="22"/>
              </w:rPr>
              <w:t>Ofﬁce Visit</w:t>
            </w:r>
          </w:p>
        </w:tc>
        <w:tc>
          <w:tcPr>
            <w:tcW w:w="3600" w:type="dxa"/>
          </w:tcPr>
          <w:p>
            <w:pPr>
              <w:pStyle w:val="TableParagraph"/>
              <w:spacing w:line="266" w:lineRule="exact" w:before="19"/>
              <w:ind w:left="1009" w:right="596" w:firstLine="71"/>
              <w:jc w:val="left"/>
              <w:rPr>
                <w:sz w:val="22"/>
              </w:rPr>
            </w:pPr>
            <w:r>
              <w:rPr>
                <w:w w:val="105"/>
                <w:sz w:val="22"/>
              </w:rPr>
              <w:t>Covered in </w:t>
            </w:r>
            <w:r>
              <w:rPr>
                <w:rFonts w:ascii="Calibri"/>
                <w:w w:val="105"/>
                <w:sz w:val="22"/>
              </w:rPr>
              <w:t>full after </w:t>
            </w:r>
            <w:r>
              <w:rPr>
                <w:w w:val="105"/>
                <w:sz w:val="22"/>
              </w:rPr>
              <w:t>deductible</w:t>
            </w:r>
          </w:p>
        </w:tc>
        <w:tc>
          <w:tcPr>
            <w:tcW w:w="3150" w:type="dxa"/>
          </w:tcPr>
          <w:p>
            <w:pPr>
              <w:pStyle w:val="TableParagraph"/>
              <w:spacing w:line="242" w:lineRule="auto" w:before="23"/>
              <w:ind w:left="1039" w:right="434" w:hanging="504"/>
              <w:jc w:val="left"/>
              <w:rPr>
                <w:sz w:val="22"/>
              </w:rPr>
            </w:pPr>
            <w:r>
              <w:rPr>
                <w:w w:val="105"/>
                <w:sz w:val="22"/>
              </w:rPr>
              <w:t>$50 copay </w:t>
            </w:r>
            <w:r>
              <w:rPr>
                <w:rFonts w:ascii="Calibri"/>
                <w:w w:val="105"/>
                <w:sz w:val="22"/>
              </w:rPr>
              <w:t>after </w:t>
            </w:r>
            <w:r>
              <w:rPr>
                <w:w w:val="105"/>
                <w:sz w:val="22"/>
              </w:rPr>
              <w:t>$400 deductible</w:t>
            </w:r>
          </w:p>
        </w:tc>
      </w:tr>
      <w:tr>
        <w:trPr>
          <w:trHeight w:val="575" w:hRule="atLeast"/>
        </w:trPr>
        <w:tc>
          <w:tcPr>
            <w:tcW w:w="3330" w:type="dxa"/>
          </w:tcPr>
          <w:p>
            <w:pPr>
              <w:pStyle w:val="TableParagraph"/>
              <w:ind w:right="223"/>
              <w:rPr>
                <w:b/>
                <w:sz w:val="22"/>
              </w:rPr>
            </w:pPr>
            <w:r>
              <w:rPr>
                <w:b/>
                <w:sz w:val="22"/>
              </w:rPr>
              <w:t>Preventative Care Services</w:t>
            </w:r>
          </w:p>
        </w:tc>
        <w:tc>
          <w:tcPr>
            <w:tcW w:w="3600" w:type="dxa"/>
          </w:tcPr>
          <w:p>
            <w:pPr>
              <w:pStyle w:val="TableParagraph"/>
              <w:spacing w:before="156"/>
              <w:ind w:left="144" w:right="137"/>
              <w:rPr>
                <w:rFonts w:ascii="Calibri"/>
                <w:sz w:val="22"/>
              </w:rPr>
            </w:pPr>
            <w:r>
              <w:rPr>
                <w:w w:val="105"/>
                <w:sz w:val="22"/>
              </w:rPr>
              <w:t>Covered in </w:t>
            </w:r>
            <w:r>
              <w:rPr>
                <w:rFonts w:ascii="Calibri"/>
                <w:w w:val="105"/>
                <w:sz w:val="22"/>
              </w:rPr>
              <w:t>full</w:t>
            </w:r>
          </w:p>
        </w:tc>
        <w:tc>
          <w:tcPr>
            <w:tcW w:w="3150" w:type="dxa"/>
          </w:tcPr>
          <w:p>
            <w:pPr>
              <w:pStyle w:val="TableParagraph"/>
              <w:spacing w:before="156"/>
              <w:ind w:left="208"/>
              <w:rPr>
                <w:rFonts w:ascii="Calibri"/>
                <w:sz w:val="22"/>
              </w:rPr>
            </w:pPr>
            <w:r>
              <w:rPr>
                <w:w w:val="105"/>
                <w:sz w:val="22"/>
              </w:rPr>
              <w:t>Covered in </w:t>
            </w:r>
            <w:r>
              <w:rPr>
                <w:rFonts w:ascii="Calibri"/>
                <w:w w:val="105"/>
                <w:sz w:val="22"/>
              </w:rPr>
              <w:t>full</w:t>
            </w:r>
          </w:p>
        </w:tc>
      </w:tr>
      <w:tr>
        <w:trPr>
          <w:trHeight w:val="576" w:hRule="atLeast"/>
        </w:trPr>
        <w:tc>
          <w:tcPr>
            <w:tcW w:w="3330" w:type="dxa"/>
          </w:tcPr>
          <w:p>
            <w:pPr>
              <w:pStyle w:val="TableParagraph"/>
              <w:ind w:right="222"/>
              <w:rPr>
                <w:b/>
                <w:sz w:val="22"/>
              </w:rPr>
            </w:pPr>
            <w:r>
              <w:rPr>
                <w:b/>
                <w:sz w:val="22"/>
              </w:rPr>
              <w:t>Ambulance</w:t>
            </w:r>
          </w:p>
        </w:tc>
        <w:tc>
          <w:tcPr>
            <w:tcW w:w="3600" w:type="dxa"/>
          </w:tcPr>
          <w:p>
            <w:pPr>
              <w:pStyle w:val="TableParagraph"/>
              <w:spacing w:line="270" w:lineRule="atLeast" w:before="12"/>
              <w:ind w:left="998" w:right="596" w:firstLine="12"/>
              <w:jc w:val="left"/>
              <w:rPr>
                <w:rFonts w:ascii="Calibri"/>
                <w:sz w:val="22"/>
              </w:rPr>
            </w:pPr>
            <w:r>
              <w:rPr>
                <w:sz w:val="22"/>
              </w:rPr>
              <w:t>0% coinsurance </w:t>
            </w:r>
            <w:r>
              <w:rPr>
                <w:rFonts w:ascii="Calibri"/>
                <w:w w:val="105"/>
                <w:sz w:val="22"/>
              </w:rPr>
              <w:t>after deductible</w:t>
            </w:r>
          </w:p>
        </w:tc>
        <w:tc>
          <w:tcPr>
            <w:tcW w:w="3150" w:type="dxa"/>
          </w:tcPr>
          <w:p>
            <w:pPr>
              <w:pStyle w:val="TableParagraph"/>
              <w:spacing w:line="242" w:lineRule="auto" w:before="23"/>
              <w:ind w:left="1039" w:right="452" w:hanging="560"/>
              <w:jc w:val="left"/>
              <w:rPr>
                <w:sz w:val="22"/>
              </w:rPr>
            </w:pPr>
            <w:r>
              <w:rPr>
                <w:w w:val="105"/>
                <w:sz w:val="22"/>
              </w:rPr>
              <w:t>10%</w:t>
            </w:r>
            <w:r>
              <w:rPr>
                <w:spacing w:val="-51"/>
                <w:w w:val="105"/>
                <w:sz w:val="22"/>
              </w:rPr>
              <w:t> </w:t>
            </w:r>
            <w:r>
              <w:rPr>
                <w:w w:val="105"/>
                <w:sz w:val="22"/>
              </w:rPr>
              <w:t>coinsurance</w:t>
            </w:r>
            <w:r>
              <w:rPr>
                <w:spacing w:val="-51"/>
                <w:w w:val="105"/>
                <w:sz w:val="22"/>
              </w:rPr>
              <w:t> </w:t>
            </w:r>
            <w:r>
              <w:rPr>
                <w:rFonts w:ascii="Calibri"/>
                <w:w w:val="105"/>
                <w:sz w:val="22"/>
              </w:rPr>
              <w:t>after </w:t>
            </w:r>
            <w:r>
              <w:rPr>
                <w:spacing w:val="-3"/>
                <w:w w:val="105"/>
                <w:sz w:val="22"/>
              </w:rPr>
              <w:t>deductible</w:t>
            </w:r>
          </w:p>
        </w:tc>
      </w:tr>
      <w:tr>
        <w:trPr>
          <w:trHeight w:val="575" w:hRule="atLeast"/>
        </w:trPr>
        <w:tc>
          <w:tcPr>
            <w:tcW w:w="3330" w:type="dxa"/>
          </w:tcPr>
          <w:p>
            <w:pPr>
              <w:pStyle w:val="TableParagraph"/>
              <w:ind w:left="229" w:right="223"/>
              <w:rPr>
                <w:b/>
                <w:sz w:val="22"/>
              </w:rPr>
            </w:pPr>
            <w:r>
              <w:rPr>
                <w:b/>
                <w:w w:val="105"/>
                <w:sz w:val="22"/>
              </w:rPr>
              <w:t>Urgent Care Center</w:t>
            </w:r>
          </w:p>
        </w:tc>
        <w:tc>
          <w:tcPr>
            <w:tcW w:w="3600" w:type="dxa"/>
          </w:tcPr>
          <w:p>
            <w:pPr>
              <w:pStyle w:val="TableParagraph"/>
              <w:spacing w:line="266" w:lineRule="exact" w:before="19"/>
              <w:ind w:left="1009" w:right="596" w:firstLine="71"/>
              <w:jc w:val="left"/>
              <w:rPr>
                <w:sz w:val="22"/>
              </w:rPr>
            </w:pPr>
            <w:r>
              <w:rPr>
                <w:w w:val="105"/>
                <w:sz w:val="22"/>
              </w:rPr>
              <w:t>Covered in </w:t>
            </w:r>
            <w:r>
              <w:rPr>
                <w:rFonts w:ascii="Calibri"/>
                <w:w w:val="105"/>
                <w:sz w:val="22"/>
              </w:rPr>
              <w:t>full after </w:t>
            </w:r>
            <w:r>
              <w:rPr>
                <w:w w:val="105"/>
                <w:sz w:val="22"/>
              </w:rPr>
              <w:t>deductible</w:t>
            </w:r>
          </w:p>
        </w:tc>
        <w:tc>
          <w:tcPr>
            <w:tcW w:w="3150" w:type="dxa"/>
          </w:tcPr>
          <w:p>
            <w:pPr>
              <w:pStyle w:val="TableParagraph"/>
              <w:spacing w:before="156"/>
              <w:ind w:left="210"/>
              <w:rPr>
                <w:sz w:val="22"/>
              </w:rPr>
            </w:pPr>
            <w:r>
              <w:rPr>
                <w:w w:val="105"/>
                <w:sz w:val="22"/>
              </w:rPr>
              <w:t>$50 copay </w:t>
            </w:r>
            <w:r>
              <w:rPr>
                <w:rFonts w:ascii="Calibri"/>
                <w:w w:val="105"/>
                <w:sz w:val="22"/>
              </w:rPr>
              <w:t>after </w:t>
            </w:r>
            <w:r>
              <w:rPr>
                <w:w w:val="105"/>
                <w:sz w:val="22"/>
              </w:rPr>
              <w:t>deductible</w:t>
            </w:r>
          </w:p>
        </w:tc>
      </w:tr>
      <w:tr>
        <w:trPr>
          <w:trHeight w:val="575" w:hRule="atLeast"/>
        </w:trPr>
        <w:tc>
          <w:tcPr>
            <w:tcW w:w="3330" w:type="dxa"/>
          </w:tcPr>
          <w:p>
            <w:pPr>
              <w:pStyle w:val="TableParagraph"/>
              <w:ind w:right="222"/>
              <w:rPr>
                <w:b/>
                <w:sz w:val="22"/>
              </w:rPr>
            </w:pPr>
            <w:r>
              <w:rPr>
                <w:b/>
                <w:w w:val="105"/>
                <w:sz w:val="22"/>
              </w:rPr>
              <w:t>Emergency Department</w:t>
            </w:r>
          </w:p>
        </w:tc>
        <w:tc>
          <w:tcPr>
            <w:tcW w:w="3600" w:type="dxa"/>
          </w:tcPr>
          <w:p>
            <w:pPr>
              <w:pStyle w:val="TableParagraph"/>
              <w:spacing w:line="270" w:lineRule="atLeast" w:before="12"/>
              <w:ind w:left="998" w:right="596" w:firstLine="12"/>
              <w:jc w:val="left"/>
              <w:rPr>
                <w:rFonts w:ascii="Calibri"/>
                <w:sz w:val="22"/>
              </w:rPr>
            </w:pPr>
            <w:r>
              <w:rPr>
                <w:sz w:val="22"/>
              </w:rPr>
              <w:t>0% coinsurance </w:t>
            </w:r>
            <w:r>
              <w:rPr>
                <w:rFonts w:ascii="Calibri"/>
                <w:w w:val="105"/>
                <w:sz w:val="22"/>
              </w:rPr>
              <w:t>after deductible</w:t>
            </w:r>
          </w:p>
        </w:tc>
        <w:tc>
          <w:tcPr>
            <w:tcW w:w="3150" w:type="dxa"/>
          </w:tcPr>
          <w:p>
            <w:pPr>
              <w:pStyle w:val="TableParagraph"/>
              <w:spacing w:line="270" w:lineRule="atLeast" w:before="12"/>
              <w:ind w:left="773" w:right="589" w:firstLine="278"/>
              <w:jc w:val="left"/>
              <w:rPr>
                <w:rFonts w:ascii="Calibri"/>
                <w:sz w:val="22"/>
              </w:rPr>
            </w:pPr>
            <w:r>
              <w:rPr>
                <w:w w:val="105"/>
                <w:sz w:val="22"/>
              </w:rPr>
              <w:t>$75 copay </w:t>
            </w:r>
            <w:r>
              <w:rPr>
                <w:rFonts w:ascii="Calibri"/>
                <w:w w:val="105"/>
                <w:sz w:val="22"/>
              </w:rPr>
              <w:t>after deductible</w:t>
            </w:r>
          </w:p>
        </w:tc>
      </w:tr>
      <w:tr>
        <w:trPr>
          <w:trHeight w:val="801" w:hRule="atLeast"/>
        </w:trPr>
        <w:tc>
          <w:tcPr>
            <w:tcW w:w="3330" w:type="dxa"/>
          </w:tcPr>
          <w:p>
            <w:pPr>
              <w:pStyle w:val="TableParagraph"/>
              <w:spacing w:line="244" w:lineRule="auto" w:before="133"/>
              <w:ind w:left="897" w:right="0" w:hanging="780"/>
              <w:jc w:val="left"/>
              <w:rPr>
                <w:b/>
                <w:sz w:val="22"/>
              </w:rPr>
            </w:pPr>
            <w:r>
              <w:rPr>
                <w:b/>
                <w:sz w:val="22"/>
              </w:rPr>
              <w:t>Prescription Drug Coverage - 30 Day Supply</w:t>
            </w:r>
          </w:p>
        </w:tc>
        <w:tc>
          <w:tcPr>
            <w:tcW w:w="3600" w:type="dxa"/>
          </w:tcPr>
          <w:p>
            <w:pPr>
              <w:pStyle w:val="TableParagraph"/>
              <w:spacing w:line="252" w:lineRule="auto" w:before="7"/>
              <w:ind w:left="670" w:right="550" w:hanging="20"/>
              <w:jc w:val="left"/>
              <w:rPr>
                <w:sz w:val="22"/>
              </w:rPr>
            </w:pPr>
            <w:r>
              <w:rPr>
                <w:w w:val="105"/>
                <w:sz w:val="22"/>
              </w:rPr>
              <w:t>Tier 1: $10 Copayment Tier 2: $20 Copayment</w:t>
            </w:r>
          </w:p>
          <w:p>
            <w:pPr>
              <w:pStyle w:val="TableParagraph"/>
              <w:spacing w:line="240" w:lineRule="exact" w:before="0"/>
              <w:ind w:left="667" w:right="0"/>
              <w:jc w:val="left"/>
              <w:rPr>
                <w:sz w:val="22"/>
              </w:rPr>
            </w:pPr>
            <w:r>
              <w:rPr>
                <w:w w:val="105"/>
                <w:sz w:val="22"/>
              </w:rPr>
              <w:t>Tier </w:t>
            </w:r>
            <w:r>
              <w:rPr>
                <w:rFonts w:ascii="Calibri"/>
                <w:w w:val="105"/>
                <w:sz w:val="22"/>
              </w:rPr>
              <w:t>3: </w:t>
            </w:r>
            <w:r>
              <w:rPr>
                <w:w w:val="105"/>
                <w:sz w:val="22"/>
              </w:rPr>
              <w:t>$20 Copayment</w:t>
            </w:r>
          </w:p>
        </w:tc>
        <w:tc>
          <w:tcPr>
            <w:tcW w:w="3150" w:type="dxa"/>
          </w:tcPr>
          <w:p>
            <w:pPr>
              <w:pStyle w:val="TableParagraph"/>
              <w:spacing w:line="252" w:lineRule="auto" w:before="7"/>
              <w:ind w:left="446" w:right="324" w:hanging="20"/>
              <w:jc w:val="left"/>
              <w:rPr>
                <w:sz w:val="22"/>
              </w:rPr>
            </w:pPr>
            <w:r>
              <w:rPr>
                <w:w w:val="105"/>
                <w:sz w:val="22"/>
              </w:rPr>
              <w:t>Tier 1: $10 Copayment Tier 2: $20 Copayment</w:t>
            </w:r>
          </w:p>
          <w:p>
            <w:pPr>
              <w:pStyle w:val="TableParagraph"/>
              <w:spacing w:line="240" w:lineRule="exact" w:before="0"/>
              <w:ind w:left="442" w:right="0"/>
              <w:jc w:val="left"/>
              <w:rPr>
                <w:sz w:val="22"/>
              </w:rPr>
            </w:pPr>
            <w:r>
              <w:rPr>
                <w:w w:val="105"/>
                <w:sz w:val="22"/>
              </w:rPr>
              <w:t>Tier </w:t>
            </w:r>
            <w:r>
              <w:rPr>
                <w:rFonts w:ascii="Calibri"/>
                <w:w w:val="105"/>
                <w:sz w:val="22"/>
              </w:rPr>
              <w:t>3: $30 </w:t>
            </w:r>
            <w:r>
              <w:rPr>
                <w:w w:val="105"/>
                <w:sz w:val="22"/>
              </w:rPr>
              <w:t>Copayment</w:t>
            </w:r>
          </w:p>
        </w:tc>
      </w:tr>
    </w:tbl>
    <w:p>
      <w:pPr>
        <w:pStyle w:val="BodyText"/>
        <w:spacing w:line="268" w:lineRule="auto" w:before="414"/>
        <w:ind w:left="946" w:right="636"/>
      </w:pPr>
      <w:r>
        <w:rPr>
          <w:b/>
          <w:w w:val="105"/>
        </w:rPr>
        <w:t>Annual Deductible: </w:t>
      </w:r>
      <w:r>
        <w:rPr>
          <w:w w:val="105"/>
        </w:rPr>
        <w:t>An amount you could owe during a coverage period (usually one </w:t>
      </w:r>
      <w:r>
        <w:rPr>
          <w:rFonts w:ascii="Calibri"/>
          <w:w w:val="105"/>
        </w:rPr>
        <w:t>year) for covered </w:t>
      </w:r>
      <w:r>
        <w:rPr>
          <w:w w:val="105"/>
        </w:rPr>
        <w:t>health care services </w:t>
      </w:r>
      <w:r>
        <w:rPr>
          <w:rFonts w:ascii="Calibri"/>
          <w:w w:val="105"/>
        </w:rPr>
        <w:t>before </w:t>
      </w:r>
      <w:r>
        <w:rPr>
          <w:w w:val="105"/>
        </w:rPr>
        <w:t>your plan begins to pay. An overall deductible applies to all or almost all covered items and services.</w:t>
      </w:r>
    </w:p>
    <w:p>
      <w:pPr>
        <w:pStyle w:val="BodyText"/>
        <w:spacing w:line="266" w:lineRule="auto" w:before="122"/>
        <w:ind w:left="946" w:right="777"/>
        <w:rPr>
          <w:rFonts w:ascii="Calibri"/>
        </w:rPr>
      </w:pPr>
      <w:r>
        <w:rPr>
          <w:b/>
          <w:w w:val="105"/>
        </w:rPr>
        <w:t>Annual Out of Pocket Maximum: </w:t>
      </w:r>
      <w:r>
        <w:rPr>
          <w:w w:val="105"/>
        </w:rPr>
        <w:t>The most you could pay during a coverage period (usually</w:t>
      </w:r>
      <w:r>
        <w:rPr>
          <w:spacing w:val="-24"/>
          <w:w w:val="105"/>
        </w:rPr>
        <w:t> </w:t>
      </w:r>
      <w:r>
        <w:rPr>
          <w:w w:val="105"/>
        </w:rPr>
        <w:t>one</w:t>
      </w:r>
      <w:r>
        <w:rPr>
          <w:spacing w:val="-23"/>
          <w:w w:val="105"/>
        </w:rPr>
        <w:t> </w:t>
      </w:r>
      <w:r>
        <w:rPr>
          <w:w w:val="105"/>
        </w:rPr>
        <w:t>year)</w:t>
      </w:r>
      <w:r>
        <w:rPr>
          <w:spacing w:val="-25"/>
          <w:w w:val="105"/>
        </w:rPr>
        <w:t> </w:t>
      </w:r>
      <w:r>
        <w:rPr>
          <w:rFonts w:ascii="Calibri"/>
          <w:w w:val="105"/>
        </w:rPr>
        <w:t>for</w:t>
      </w:r>
      <w:r>
        <w:rPr>
          <w:rFonts w:ascii="Calibri"/>
          <w:spacing w:val="-11"/>
          <w:w w:val="105"/>
        </w:rPr>
        <w:t> </w:t>
      </w:r>
      <w:r>
        <w:rPr>
          <w:w w:val="105"/>
        </w:rPr>
        <w:t>your</w:t>
      </w:r>
      <w:r>
        <w:rPr>
          <w:spacing w:val="-25"/>
          <w:w w:val="105"/>
        </w:rPr>
        <w:t> </w:t>
      </w:r>
      <w:r>
        <w:rPr>
          <w:w w:val="105"/>
        </w:rPr>
        <w:t>share</w:t>
      </w:r>
      <w:r>
        <w:rPr>
          <w:spacing w:val="-25"/>
          <w:w w:val="105"/>
        </w:rPr>
        <w:t> </w:t>
      </w:r>
      <w:r>
        <w:rPr>
          <w:rFonts w:ascii="Calibri"/>
          <w:w w:val="105"/>
        </w:rPr>
        <w:t>of</w:t>
      </w:r>
      <w:r>
        <w:rPr>
          <w:rFonts w:ascii="Calibri"/>
          <w:spacing w:val="-12"/>
          <w:w w:val="105"/>
        </w:rPr>
        <w:t> </w:t>
      </w:r>
      <w:r>
        <w:rPr>
          <w:w w:val="105"/>
        </w:rPr>
        <w:t>the</w:t>
      </w:r>
      <w:r>
        <w:rPr>
          <w:spacing w:val="-25"/>
          <w:w w:val="105"/>
        </w:rPr>
        <w:t> </w:t>
      </w:r>
      <w:r>
        <w:rPr>
          <w:w w:val="105"/>
        </w:rPr>
        <w:t>costs</w:t>
      </w:r>
      <w:r>
        <w:rPr>
          <w:spacing w:val="-25"/>
          <w:w w:val="105"/>
        </w:rPr>
        <w:t> </w:t>
      </w:r>
      <w:r>
        <w:rPr>
          <w:rFonts w:ascii="Calibri"/>
          <w:w w:val="105"/>
        </w:rPr>
        <w:t>of</w:t>
      </w:r>
      <w:r>
        <w:rPr>
          <w:rFonts w:ascii="Calibri"/>
          <w:spacing w:val="-12"/>
          <w:w w:val="105"/>
        </w:rPr>
        <w:t> </w:t>
      </w:r>
      <w:r>
        <w:rPr>
          <w:w w:val="105"/>
        </w:rPr>
        <w:t>covered</w:t>
      </w:r>
      <w:r>
        <w:rPr>
          <w:spacing w:val="-25"/>
          <w:w w:val="105"/>
        </w:rPr>
        <w:t> </w:t>
      </w:r>
      <w:r>
        <w:rPr>
          <w:w w:val="105"/>
        </w:rPr>
        <w:t>services.</w:t>
      </w:r>
      <w:r>
        <w:rPr>
          <w:spacing w:val="-23"/>
          <w:w w:val="105"/>
        </w:rPr>
        <w:t> </w:t>
      </w:r>
      <w:r>
        <w:rPr>
          <w:rFonts w:ascii="Calibri"/>
          <w:w w:val="105"/>
        </w:rPr>
        <w:t>After</w:t>
      </w:r>
      <w:r>
        <w:rPr>
          <w:rFonts w:ascii="Calibri"/>
          <w:spacing w:val="-12"/>
          <w:w w:val="105"/>
        </w:rPr>
        <w:t> </w:t>
      </w:r>
      <w:r>
        <w:rPr>
          <w:w w:val="105"/>
        </w:rPr>
        <w:t>you</w:t>
      </w:r>
      <w:r>
        <w:rPr>
          <w:spacing w:val="-23"/>
          <w:w w:val="105"/>
        </w:rPr>
        <w:t> </w:t>
      </w:r>
      <w:r>
        <w:rPr>
          <w:w w:val="105"/>
        </w:rPr>
        <w:t>meet</w:t>
      </w:r>
      <w:r>
        <w:rPr>
          <w:spacing w:val="-24"/>
          <w:w w:val="105"/>
        </w:rPr>
        <w:t> </w:t>
      </w:r>
      <w:r>
        <w:rPr>
          <w:w w:val="105"/>
        </w:rPr>
        <w:t>this</w:t>
      </w:r>
      <w:r>
        <w:rPr>
          <w:spacing w:val="-25"/>
          <w:w w:val="105"/>
        </w:rPr>
        <w:t> </w:t>
      </w:r>
      <w:r>
        <w:rPr>
          <w:w w:val="105"/>
        </w:rPr>
        <w:t>limit the plan will </w:t>
      </w:r>
      <w:r>
        <w:rPr>
          <w:rFonts w:ascii="Calibri"/>
          <w:w w:val="105"/>
        </w:rPr>
        <w:t>usually pay 100% of the allowed</w:t>
      </w:r>
      <w:r>
        <w:rPr>
          <w:rFonts w:ascii="Calibri"/>
          <w:spacing w:val="1"/>
          <w:w w:val="105"/>
        </w:rPr>
        <w:t> </w:t>
      </w:r>
      <w:r>
        <w:rPr>
          <w:rFonts w:ascii="Calibri"/>
          <w:w w:val="105"/>
        </w:rPr>
        <w:t>amount.</w:t>
      </w:r>
    </w:p>
    <w:p>
      <w:pPr>
        <w:pStyle w:val="BodyText"/>
        <w:spacing w:line="264" w:lineRule="auto" w:before="113"/>
        <w:ind w:left="946" w:right="1552"/>
      </w:pPr>
      <w:r>
        <w:rPr>
          <w:b/>
          <w:w w:val="105"/>
        </w:rPr>
        <w:t>Copay:</w:t>
      </w:r>
      <w:r>
        <w:rPr>
          <w:b/>
          <w:spacing w:val="-29"/>
          <w:w w:val="105"/>
        </w:rPr>
        <w:t> </w:t>
      </w:r>
      <w:r>
        <w:rPr>
          <w:w w:val="105"/>
        </w:rPr>
        <w:t>A</w:t>
      </w:r>
      <w:r>
        <w:rPr>
          <w:spacing w:val="-25"/>
          <w:w w:val="105"/>
        </w:rPr>
        <w:t> </w:t>
      </w:r>
      <w:r>
        <w:rPr>
          <w:rFonts w:ascii="Calibri" w:hAnsi="Calibri"/>
          <w:w w:val="105"/>
        </w:rPr>
        <w:t>ﬁ</w:t>
      </w:r>
      <w:r>
        <w:rPr>
          <w:w w:val="105"/>
        </w:rPr>
        <w:t>xed</w:t>
      </w:r>
      <w:r>
        <w:rPr>
          <w:spacing w:val="-26"/>
          <w:w w:val="105"/>
        </w:rPr>
        <w:t> </w:t>
      </w:r>
      <w:r>
        <w:rPr>
          <w:w w:val="105"/>
        </w:rPr>
        <w:t>amount</w:t>
      </w:r>
      <w:r>
        <w:rPr>
          <w:spacing w:val="-26"/>
          <w:w w:val="105"/>
        </w:rPr>
        <w:t> </w:t>
      </w:r>
      <w:r>
        <w:rPr>
          <w:rFonts w:ascii="Calibri" w:hAnsi="Calibri"/>
          <w:w w:val="105"/>
        </w:rPr>
        <w:t>(for</w:t>
      </w:r>
      <w:r>
        <w:rPr>
          <w:rFonts w:ascii="Calibri" w:hAnsi="Calibri"/>
          <w:spacing w:val="-13"/>
          <w:w w:val="105"/>
        </w:rPr>
        <w:t> </w:t>
      </w:r>
      <w:r>
        <w:rPr>
          <w:w w:val="105"/>
        </w:rPr>
        <w:t>example,</w:t>
      </w:r>
      <w:r>
        <w:rPr>
          <w:spacing w:val="-26"/>
          <w:w w:val="105"/>
        </w:rPr>
        <w:t> </w:t>
      </w:r>
      <w:r>
        <w:rPr>
          <w:w w:val="105"/>
        </w:rPr>
        <w:t>$15)</w:t>
      </w:r>
      <w:r>
        <w:rPr>
          <w:spacing w:val="-26"/>
          <w:w w:val="105"/>
        </w:rPr>
        <w:t> </w:t>
      </w:r>
      <w:r>
        <w:rPr>
          <w:w w:val="105"/>
        </w:rPr>
        <w:t>you</w:t>
      </w:r>
      <w:r>
        <w:rPr>
          <w:spacing w:val="-26"/>
          <w:w w:val="105"/>
        </w:rPr>
        <w:t> </w:t>
      </w:r>
      <w:r>
        <w:rPr>
          <w:w w:val="105"/>
        </w:rPr>
        <w:t>pay</w:t>
      </w:r>
      <w:r>
        <w:rPr>
          <w:spacing w:val="-25"/>
          <w:w w:val="105"/>
        </w:rPr>
        <w:t> </w:t>
      </w:r>
      <w:r>
        <w:rPr>
          <w:rFonts w:ascii="Calibri" w:hAnsi="Calibri"/>
          <w:w w:val="105"/>
        </w:rPr>
        <w:t>for</w:t>
      </w:r>
      <w:r>
        <w:rPr>
          <w:rFonts w:ascii="Calibri" w:hAnsi="Calibri"/>
          <w:spacing w:val="-14"/>
          <w:w w:val="105"/>
        </w:rPr>
        <w:t> </w:t>
      </w:r>
      <w:r>
        <w:rPr>
          <w:w w:val="105"/>
        </w:rPr>
        <w:t>a</w:t>
      </w:r>
      <w:r>
        <w:rPr>
          <w:spacing w:val="-26"/>
          <w:w w:val="105"/>
        </w:rPr>
        <w:t> </w:t>
      </w:r>
      <w:r>
        <w:rPr>
          <w:w w:val="105"/>
        </w:rPr>
        <w:t>covered</w:t>
      </w:r>
      <w:r>
        <w:rPr>
          <w:spacing w:val="-26"/>
          <w:w w:val="105"/>
        </w:rPr>
        <w:t> </w:t>
      </w:r>
      <w:r>
        <w:rPr>
          <w:w w:val="105"/>
        </w:rPr>
        <w:t>health</w:t>
      </w:r>
      <w:r>
        <w:rPr>
          <w:spacing w:val="-25"/>
          <w:w w:val="105"/>
        </w:rPr>
        <w:t> </w:t>
      </w:r>
      <w:r>
        <w:rPr>
          <w:w w:val="105"/>
        </w:rPr>
        <w:t>care</w:t>
      </w:r>
      <w:r>
        <w:rPr>
          <w:spacing w:val="-26"/>
          <w:w w:val="105"/>
        </w:rPr>
        <w:t> </w:t>
      </w:r>
      <w:r>
        <w:rPr>
          <w:w w:val="105"/>
        </w:rPr>
        <w:t>service, usually </w:t>
      </w:r>
      <w:r>
        <w:rPr>
          <w:rFonts w:ascii="Calibri" w:hAnsi="Calibri"/>
          <w:w w:val="105"/>
        </w:rPr>
        <w:t>when you receive the service. The amount can vary by the type of covered </w:t>
      </w:r>
      <w:r>
        <w:rPr>
          <w:w w:val="105"/>
        </w:rPr>
        <w:t>health care</w:t>
      </w:r>
      <w:r>
        <w:rPr>
          <w:spacing w:val="-23"/>
          <w:w w:val="105"/>
        </w:rPr>
        <w:t> </w:t>
      </w:r>
      <w:r>
        <w:rPr>
          <w:w w:val="105"/>
        </w:rPr>
        <w:t>service.</w:t>
      </w:r>
    </w:p>
    <w:p>
      <w:pPr>
        <w:pStyle w:val="BodyText"/>
        <w:spacing w:line="261" w:lineRule="auto" w:before="128"/>
        <w:ind w:left="946" w:right="636"/>
      </w:pPr>
      <w:r>
        <w:rPr>
          <w:b/>
          <w:w w:val="105"/>
        </w:rPr>
        <w:t>Coinsurance:</w:t>
      </w:r>
      <w:r>
        <w:rPr>
          <w:b/>
          <w:spacing w:val="-34"/>
          <w:w w:val="105"/>
        </w:rPr>
        <w:t> </w:t>
      </w:r>
      <w:r>
        <w:rPr>
          <w:w w:val="105"/>
        </w:rPr>
        <w:t>Your</w:t>
      </w:r>
      <w:r>
        <w:rPr>
          <w:spacing w:val="-31"/>
          <w:w w:val="105"/>
        </w:rPr>
        <w:t> </w:t>
      </w:r>
      <w:r>
        <w:rPr>
          <w:w w:val="105"/>
        </w:rPr>
        <w:t>share</w:t>
      </w:r>
      <w:r>
        <w:rPr>
          <w:spacing w:val="-31"/>
          <w:w w:val="105"/>
        </w:rPr>
        <w:t> </w:t>
      </w:r>
      <w:r>
        <w:rPr>
          <w:rFonts w:ascii="Calibri"/>
          <w:w w:val="105"/>
        </w:rPr>
        <w:t>of</w:t>
      </w:r>
      <w:r>
        <w:rPr>
          <w:rFonts w:ascii="Calibri"/>
          <w:spacing w:val="-17"/>
          <w:w w:val="105"/>
        </w:rPr>
        <w:t> </w:t>
      </w:r>
      <w:r>
        <w:rPr>
          <w:w w:val="105"/>
        </w:rPr>
        <w:t>the</w:t>
      </w:r>
      <w:r>
        <w:rPr>
          <w:spacing w:val="-31"/>
          <w:w w:val="105"/>
        </w:rPr>
        <w:t> </w:t>
      </w:r>
      <w:r>
        <w:rPr>
          <w:w w:val="105"/>
        </w:rPr>
        <w:t>costs</w:t>
      </w:r>
      <w:r>
        <w:rPr>
          <w:spacing w:val="-31"/>
          <w:w w:val="105"/>
        </w:rPr>
        <w:t> </w:t>
      </w:r>
      <w:r>
        <w:rPr>
          <w:rFonts w:ascii="Calibri"/>
          <w:w w:val="105"/>
        </w:rPr>
        <w:t>of</w:t>
      </w:r>
      <w:r>
        <w:rPr>
          <w:rFonts w:ascii="Calibri"/>
          <w:spacing w:val="-17"/>
          <w:w w:val="105"/>
        </w:rPr>
        <w:t> </w:t>
      </w:r>
      <w:r>
        <w:rPr>
          <w:w w:val="105"/>
        </w:rPr>
        <w:t>a</w:t>
      </w:r>
      <w:r>
        <w:rPr>
          <w:spacing w:val="-31"/>
          <w:w w:val="105"/>
        </w:rPr>
        <w:t> </w:t>
      </w:r>
      <w:r>
        <w:rPr>
          <w:w w:val="105"/>
        </w:rPr>
        <w:t>covered</w:t>
      </w:r>
      <w:r>
        <w:rPr>
          <w:spacing w:val="-31"/>
          <w:w w:val="105"/>
        </w:rPr>
        <w:t> </w:t>
      </w:r>
      <w:r>
        <w:rPr>
          <w:w w:val="105"/>
        </w:rPr>
        <w:t>health</w:t>
      </w:r>
      <w:r>
        <w:rPr>
          <w:spacing w:val="-30"/>
          <w:w w:val="105"/>
        </w:rPr>
        <w:t> </w:t>
      </w:r>
      <w:r>
        <w:rPr>
          <w:w w:val="105"/>
        </w:rPr>
        <w:t>care</w:t>
      </w:r>
      <w:r>
        <w:rPr>
          <w:spacing w:val="-31"/>
          <w:w w:val="105"/>
        </w:rPr>
        <w:t> </w:t>
      </w:r>
      <w:r>
        <w:rPr>
          <w:w w:val="105"/>
        </w:rPr>
        <w:t>service,</w:t>
      </w:r>
      <w:r>
        <w:rPr>
          <w:spacing w:val="-31"/>
          <w:w w:val="105"/>
        </w:rPr>
        <w:t> </w:t>
      </w:r>
      <w:r>
        <w:rPr>
          <w:w w:val="105"/>
        </w:rPr>
        <w:t>calculated</w:t>
      </w:r>
      <w:r>
        <w:rPr>
          <w:spacing w:val="-31"/>
          <w:w w:val="105"/>
        </w:rPr>
        <w:t> </w:t>
      </w:r>
      <w:r>
        <w:rPr>
          <w:w w:val="105"/>
        </w:rPr>
        <w:t>as</w:t>
      </w:r>
      <w:r>
        <w:rPr>
          <w:spacing w:val="-31"/>
          <w:w w:val="105"/>
        </w:rPr>
        <w:t> </w:t>
      </w:r>
      <w:r>
        <w:rPr>
          <w:w w:val="105"/>
        </w:rPr>
        <w:t>a </w:t>
      </w:r>
      <w:r>
        <w:rPr>
          <w:rFonts w:ascii="Calibri"/>
          <w:w w:val="105"/>
        </w:rPr>
        <w:t>percentage (for</w:t>
      </w:r>
      <w:r>
        <w:rPr>
          <w:rFonts w:ascii="Calibri"/>
          <w:spacing w:val="-4"/>
          <w:w w:val="105"/>
        </w:rPr>
        <w:t> </w:t>
      </w:r>
      <w:r>
        <w:rPr>
          <w:w w:val="105"/>
        </w:rPr>
        <w:t>example,</w:t>
      </w:r>
      <w:r>
        <w:rPr>
          <w:spacing w:val="-17"/>
          <w:w w:val="105"/>
        </w:rPr>
        <w:t> </w:t>
      </w:r>
      <w:r>
        <w:rPr>
          <w:w w:val="105"/>
        </w:rPr>
        <w:t>20%)</w:t>
      </w:r>
      <w:r>
        <w:rPr>
          <w:spacing w:val="-17"/>
          <w:w w:val="105"/>
        </w:rPr>
        <w:t> </w:t>
      </w:r>
      <w:r>
        <w:rPr>
          <w:rFonts w:ascii="Calibri"/>
          <w:w w:val="105"/>
        </w:rPr>
        <w:t>of</w:t>
      </w:r>
      <w:r>
        <w:rPr>
          <w:rFonts w:ascii="Calibri"/>
          <w:spacing w:val="-4"/>
          <w:w w:val="105"/>
        </w:rPr>
        <w:t> </w:t>
      </w:r>
      <w:r>
        <w:rPr>
          <w:w w:val="105"/>
        </w:rPr>
        <w:t>the</w:t>
      </w:r>
      <w:r>
        <w:rPr>
          <w:spacing w:val="-17"/>
          <w:w w:val="105"/>
        </w:rPr>
        <w:t> </w:t>
      </w:r>
      <w:r>
        <w:rPr>
          <w:w w:val="105"/>
        </w:rPr>
        <w:t>allowed</w:t>
      </w:r>
      <w:r>
        <w:rPr>
          <w:spacing w:val="-17"/>
          <w:w w:val="105"/>
        </w:rPr>
        <w:t> </w:t>
      </w:r>
      <w:r>
        <w:rPr>
          <w:w w:val="105"/>
        </w:rPr>
        <w:t>amount</w:t>
      </w:r>
      <w:r>
        <w:rPr>
          <w:spacing w:val="-16"/>
          <w:w w:val="105"/>
        </w:rPr>
        <w:t> </w:t>
      </w:r>
      <w:r>
        <w:rPr>
          <w:rFonts w:ascii="Calibri"/>
          <w:w w:val="105"/>
        </w:rPr>
        <w:t>for</w:t>
      </w:r>
      <w:r>
        <w:rPr>
          <w:rFonts w:ascii="Calibri"/>
          <w:spacing w:val="-4"/>
          <w:w w:val="105"/>
        </w:rPr>
        <w:t> </w:t>
      </w:r>
      <w:r>
        <w:rPr>
          <w:w w:val="105"/>
        </w:rPr>
        <w:t>the</w:t>
      </w:r>
      <w:r>
        <w:rPr>
          <w:spacing w:val="-17"/>
          <w:w w:val="105"/>
        </w:rPr>
        <w:t> </w:t>
      </w:r>
      <w:r>
        <w:rPr>
          <w:w w:val="105"/>
        </w:rPr>
        <w:t>service.</w:t>
      </w:r>
      <w:r>
        <w:rPr>
          <w:spacing w:val="-17"/>
          <w:w w:val="105"/>
        </w:rPr>
        <w:t> </w:t>
      </w:r>
      <w:r>
        <w:rPr>
          <w:w w:val="105"/>
        </w:rPr>
        <w:t>You</w:t>
      </w:r>
      <w:r>
        <w:rPr>
          <w:spacing w:val="-17"/>
          <w:w w:val="105"/>
        </w:rPr>
        <w:t> </w:t>
      </w:r>
      <w:r>
        <w:rPr>
          <w:w w:val="105"/>
        </w:rPr>
        <w:t>generally</w:t>
      </w:r>
      <w:r>
        <w:rPr>
          <w:spacing w:val="-17"/>
          <w:w w:val="105"/>
        </w:rPr>
        <w:t> </w:t>
      </w:r>
      <w:r>
        <w:rPr>
          <w:w w:val="105"/>
        </w:rPr>
        <w:t>pay coinsurance</w:t>
      </w:r>
      <w:r>
        <w:rPr>
          <w:spacing w:val="-17"/>
          <w:w w:val="105"/>
        </w:rPr>
        <w:t> </w:t>
      </w:r>
      <w:r>
        <w:rPr>
          <w:b/>
          <w:w w:val="105"/>
        </w:rPr>
        <w:t>plus</w:t>
      </w:r>
      <w:r>
        <w:rPr>
          <w:b/>
          <w:spacing w:val="-19"/>
          <w:w w:val="105"/>
        </w:rPr>
        <w:t> </w:t>
      </w:r>
      <w:r>
        <w:rPr>
          <w:w w:val="105"/>
        </w:rPr>
        <w:t>any</w:t>
      </w:r>
      <w:r>
        <w:rPr>
          <w:spacing w:val="-12"/>
          <w:w w:val="105"/>
        </w:rPr>
        <w:t> </w:t>
      </w:r>
      <w:r>
        <w:rPr>
          <w:w w:val="105"/>
        </w:rPr>
        <w:t>deductibles</w:t>
      </w:r>
      <w:r>
        <w:rPr>
          <w:spacing w:val="-12"/>
          <w:w w:val="105"/>
        </w:rPr>
        <w:t> </w:t>
      </w:r>
      <w:r>
        <w:rPr>
          <w:w w:val="105"/>
        </w:rPr>
        <w:t>you</w:t>
      </w:r>
      <w:r>
        <w:rPr>
          <w:spacing w:val="-12"/>
          <w:w w:val="105"/>
        </w:rPr>
        <w:t> </w:t>
      </w:r>
      <w:r>
        <w:rPr>
          <w:w w:val="105"/>
        </w:rPr>
        <w:t>owe.</w:t>
      </w:r>
    </w:p>
    <w:p>
      <w:pPr>
        <w:pStyle w:val="BodyText"/>
        <w:rPr>
          <w:sz w:val="20"/>
        </w:rPr>
      </w:pPr>
    </w:p>
    <w:p>
      <w:pPr>
        <w:pStyle w:val="BodyText"/>
        <w:rPr>
          <w:sz w:val="20"/>
        </w:rPr>
      </w:pPr>
    </w:p>
    <w:p>
      <w:pPr>
        <w:pStyle w:val="BodyText"/>
        <w:spacing w:before="8"/>
        <w:rPr>
          <w:sz w:val="16"/>
        </w:rPr>
      </w:pPr>
      <w:r>
        <w:rPr/>
        <w:pict>
          <v:shape style="position:absolute;margin-left:55.349998pt;margin-top:10.858922pt;width:501.9pt;height:86.5pt;mso-position-horizontal-relative:page;mso-position-vertical-relative:paragraph;z-index:1096;mso-wrap-distance-left:0;mso-wrap-distance-right:0" type="#_x0000_t202" filled="true" fillcolor="#1f618d" stroked="false">
            <v:textbox inset="0,0,0,0">
              <w:txbxContent>
                <w:p>
                  <w:pPr>
                    <w:pStyle w:val="BodyText"/>
                    <w:spacing w:before="8"/>
                    <w:rPr>
                      <w:sz w:val="28"/>
                    </w:rPr>
                  </w:pPr>
                </w:p>
                <w:p>
                  <w:pPr>
                    <w:pStyle w:val="BodyText"/>
                    <w:spacing w:line="261" w:lineRule="auto"/>
                    <w:ind w:left="317" w:right="438"/>
                    <w:jc w:val="center"/>
                    <w:rPr>
                      <w:rFonts w:ascii="Calibri" w:hAnsi="Calibri"/>
                    </w:rPr>
                  </w:pPr>
                  <w:r>
                    <w:rPr>
                      <w:color w:val="FFFFFF"/>
                      <w:w w:val="110"/>
                    </w:rPr>
                    <w:t>The</w:t>
                  </w:r>
                  <w:r>
                    <w:rPr>
                      <w:color w:val="FFFFFF"/>
                      <w:spacing w:val="-20"/>
                      <w:w w:val="110"/>
                    </w:rPr>
                    <w:t> </w:t>
                  </w:r>
                  <w:r>
                    <w:rPr>
                      <w:color w:val="FFFFFF"/>
                      <w:w w:val="110"/>
                    </w:rPr>
                    <w:t>2026</w:t>
                  </w:r>
                  <w:r>
                    <w:rPr>
                      <w:color w:val="FFFFFF"/>
                      <w:spacing w:val="-19"/>
                      <w:w w:val="110"/>
                    </w:rPr>
                    <w:t> </w:t>
                  </w:r>
                  <w:r>
                    <w:rPr>
                      <w:color w:val="FFFFFF"/>
                      <w:w w:val="110"/>
                    </w:rPr>
                    <w:t>-</w:t>
                  </w:r>
                  <w:r>
                    <w:rPr>
                      <w:color w:val="FFFFFF"/>
                      <w:spacing w:val="-19"/>
                      <w:w w:val="110"/>
                    </w:rPr>
                    <w:t> </w:t>
                  </w:r>
                  <w:r>
                    <w:rPr>
                      <w:color w:val="FFFFFF"/>
                      <w:w w:val="110"/>
                    </w:rPr>
                    <w:t>2027</w:t>
                  </w:r>
                  <w:r>
                    <w:rPr>
                      <w:color w:val="FFFFFF"/>
                      <w:spacing w:val="-19"/>
                      <w:w w:val="110"/>
                    </w:rPr>
                    <w:t> </w:t>
                  </w:r>
                  <w:r>
                    <w:rPr>
                      <w:rFonts w:ascii="Calibri" w:hAnsi="Calibri"/>
                      <w:color w:val="FFFFFF"/>
                      <w:w w:val="110"/>
                    </w:rPr>
                    <w:t>beneﬁts</w:t>
                  </w:r>
                  <w:r>
                    <w:rPr>
                      <w:rFonts w:ascii="Calibri" w:hAnsi="Calibri"/>
                      <w:color w:val="FFFFFF"/>
                      <w:spacing w:val="-5"/>
                      <w:w w:val="110"/>
                    </w:rPr>
                    <w:t> </w:t>
                  </w:r>
                  <w:r>
                    <w:rPr>
                      <w:rFonts w:ascii="Calibri" w:hAnsi="Calibri"/>
                      <w:color w:val="FFFFFF"/>
                      <w:w w:val="110"/>
                    </w:rPr>
                    <w:t>listed</w:t>
                  </w:r>
                  <w:r>
                    <w:rPr>
                      <w:rFonts w:ascii="Calibri" w:hAnsi="Calibri"/>
                      <w:color w:val="FFFFFF"/>
                      <w:spacing w:val="-6"/>
                      <w:w w:val="110"/>
                    </w:rPr>
                    <w:t> </w:t>
                  </w:r>
                  <w:r>
                    <w:rPr>
                      <w:rFonts w:ascii="Calibri" w:hAnsi="Calibri"/>
                      <w:color w:val="FFFFFF"/>
                      <w:w w:val="110"/>
                    </w:rPr>
                    <w:t>above</w:t>
                  </w:r>
                  <w:r>
                    <w:rPr>
                      <w:rFonts w:ascii="Calibri" w:hAnsi="Calibri"/>
                      <w:color w:val="FFFFFF"/>
                      <w:spacing w:val="-6"/>
                      <w:w w:val="110"/>
                    </w:rPr>
                    <w:t> </w:t>
                  </w:r>
                  <w:r>
                    <w:rPr>
                      <w:rFonts w:ascii="Calibri" w:hAnsi="Calibri"/>
                      <w:color w:val="FFFFFF"/>
                      <w:w w:val="110"/>
                    </w:rPr>
                    <w:t>are</w:t>
                  </w:r>
                  <w:r>
                    <w:rPr>
                      <w:rFonts w:ascii="Calibri" w:hAnsi="Calibri"/>
                      <w:color w:val="FFFFFF"/>
                      <w:spacing w:val="-6"/>
                      <w:w w:val="110"/>
                    </w:rPr>
                    <w:t> </w:t>
                  </w:r>
                  <w:r>
                    <w:rPr>
                      <w:rFonts w:ascii="Calibri" w:hAnsi="Calibri"/>
                      <w:color w:val="FFFFFF"/>
                      <w:w w:val="110"/>
                    </w:rPr>
                    <w:t>a</w:t>
                  </w:r>
                  <w:r>
                    <w:rPr>
                      <w:rFonts w:ascii="Calibri" w:hAnsi="Calibri"/>
                      <w:color w:val="FFFFFF"/>
                      <w:spacing w:val="-6"/>
                      <w:w w:val="110"/>
                    </w:rPr>
                    <w:t> </w:t>
                  </w:r>
                  <w:r>
                    <w:rPr>
                      <w:rFonts w:ascii="Calibri" w:hAnsi="Calibri"/>
                      <w:color w:val="FFFFFF"/>
                      <w:w w:val="110"/>
                    </w:rPr>
                    <w:t>summary</w:t>
                  </w:r>
                  <w:r>
                    <w:rPr>
                      <w:rFonts w:ascii="Calibri" w:hAnsi="Calibri"/>
                      <w:color w:val="FFFFFF"/>
                      <w:spacing w:val="-5"/>
                      <w:w w:val="110"/>
                    </w:rPr>
                    <w:t> </w:t>
                  </w:r>
                  <w:r>
                    <w:rPr>
                      <w:rFonts w:ascii="Calibri" w:hAnsi="Calibri"/>
                      <w:color w:val="FFFFFF"/>
                      <w:w w:val="110"/>
                    </w:rPr>
                    <w:t>of</w:t>
                  </w:r>
                  <w:r>
                    <w:rPr>
                      <w:rFonts w:ascii="Calibri" w:hAnsi="Calibri"/>
                      <w:color w:val="FFFFFF"/>
                      <w:spacing w:val="-6"/>
                      <w:w w:val="110"/>
                    </w:rPr>
                    <w:t> </w:t>
                  </w:r>
                  <w:r>
                    <w:rPr>
                      <w:rFonts w:ascii="Calibri" w:hAnsi="Calibri"/>
                      <w:color w:val="FFFFFF"/>
                      <w:w w:val="110"/>
                    </w:rPr>
                    <w:t>the</w:t>
                  </w:r>
                  <w:r>
                    <w:rPr>
                      <w:rFonts w:ascii="Calibri" w:hAnsi="Calibri"/>
                      <w:color w:val="FFFFFF"/>
                      <w:spacing w:val="-6"/>
                      <w:w w:val="110"/>
                    </w:rPr>
                    <w:t> </w:t>
                  </w:r>
                  <w:r>
                    <w:rPr>
                      <w:rFonts w:ascii="Calibri" w:hAnsi="Calibri"/>
                      <w:color w:val="FFFFFF"/>
                      <w:w w:val="110"/>
                    </w:rPr>
                    <w:t>Student</w:t>
                  </w:r>
                  <w:r>
                    <w:rPr>
                      <w:rFonts w:ascii="Calibri" w:hAnsi="Calibri"/>
                      <w:color w:val="FFFFFF"/>
                      <w:spacing w:val="-6"/>
                      <w:w w:val="110"/>
                    </w:rPr>
                    <w:t> </w:t>
                  </w:r>
                  <w:r>
                    <w:rPr>
                      <w:rFonts w:ascii="Calibri" w:hAnsi="Calibri"/>
                      <w:color w:val="FFFFFF"/>
                      <w:w w:val="110"/>
                    </w:rPr>
                    <w:t>Health</w:t>
                  </w:r>
                  <w:r>
                    <w:rPr>
                      <w:rFonts w:ascii="Calibri" w:hAnsi="Calibri"/>
                      <w:color w:val="FFFFFF"/>
                      <w:spacing w:val="-5"/>
                      <w:w w:val="110"/>
                    </w:rPr>
                    <w:t> </w:t>
                  </w:r>
                  <w:r>
                    <w:rPr>
                      <w:rFonts w:ascii="Calibri" w:hAnsi="Calibri"/>
                      <w:color w:val="FFFFFF"/>
                      <w:w w:val="110"/>
                    </w:rPr>
                    <w:t>Insurance </w:t>
                  </w:r>
                  <w:r>
                    <w:rPr>
                      <w:color w:val="FFFFFF"/>
                      <w:w w:val="110"/>
                    </w:rPr>
                    <w:t>Plan</w:t>
                  </w:r>
                  <w:r>
                    <w:rPr>
                      <w:color w:val="FFFFFF"/>
                      <w:spacing w:val="-31"/>
                      <w:w w:val="110"/>
                    </w:rPr>
                    <w:t> </w:t>
                  </w:r>
                  <w:r>
                    <w:rPr>
                      <w:color w:val="FFFFFF"/>
                      <w:w w:val="110"/>
                    </w:rPr>
                    <w:t>design.</w:t>
                  </w:r>
                  <w:r>
                    <w:rPr>
                      <w:color w:val="FFFFFF"/>
                      <w:spacing w:val="-31"/>
                      <w:w w:val="110"/>
                    </w:rPr>
                    <w:t> </w:t>
                  </w:r>
                  <w:r>
                    <w:rPr>
                      <w:color w:val="FFFFFF"/>
                      <w:w w:val="110"/>
                    </w:rPr>
                    <w:t>Additional</w:t>
                  </w:r>
                  <w:r>
                    <w:rPr>
                      <w:color w:val="FFFFFF"/>
                      <w:spacing w:val="-31"/>
                      <w:w w:val="110"/>
                    </w:rPr>
                    <w:t> </w:t>
                  </w:r>
                  <w:r>
                    <w:rPr>
                      <w:color w:val="FFFFFF"/>
                      <w:w w:val="110"/>
                    </w:rPr>
                    <w:t>Schedule</w:t>
                  </w:r>
                  <w:r>
                    <w:rPr>
                      <w:color w:val="FFFFFF"/>
                      <w:spacing w:val="-31"/>
                      <w:w w:val="110"/>
                    </w:rPr>
                    <w:t> </w:t>
                  </w:r>
                  <w:r>
                    <w:rPr>
                      <w:rFonts w:ascii="Calibri" w:hAnsi="Calibri"/>
                      <w:color w:val="FFFFFF"/>
                      <w:w w:val="110"/>
                    </w:rPr>
                    <w:t>of</w:t>
                  </w:r>
                  <w:r>
                    <w:rPr>
                      <w:rFonts w:ascii="Calibri" w:hAnsi="Calibri"/>
                      <w:color w:val="FFFFFF"/>
                      <w:spacing w:val="-16"/>
                      <w:w w:val="110"/>
                    </w:rPr>
                    <w:t> </w:t>
                  </w:r>
                  <w:r>
                    <w:rPr>
                      <w:color w:val="FFFFFF"/>
                      <w:w w:val="110"/>
                    </w:rPr>
                    <w:t>Medical</w:t>
                  </w:r>
                  <w:r>
                    <w:rPr>
                      <w:color w:val="FFFFFF"/>
                      <w:spacing w:val="-31"/>
                      <w:w w:val="110"/>
                    </w:rPr>
                    <w:t> </w:t>
                  </w:r>
                  <w:r>
                    <w:rPr>
                      <w:color w:val="FFFFFF"/>
                      <w:w w:val="110"/>
                    </w:rPr>
                    <w:t>Expense</w:t>
                  </w:r>
                  <w:r>
                    <w:rPr>
                      <w:color w:val="FFFFFF"/>
                      <w:spacing w:val="-30"/>
                      <w:w w:val="110"/>
                    </w:rPr>
                    <w:t> </w:t>
                  </w:r>
                  <w:r>
                    <w:rPr>
                      <w:rFonts w:ascii="Calibri" w:hAnsi="Calibri"/>
                      <w:color w:val="FFFFFF"/>
                      <w:w w:val="110"/>
                    </w:rPr>
                    <w:t>Beneﬁts/</w:t>
                  </w:r>
                </w:p>
                <w:p>
                  <w:pPr>
                    <w:pStyle w:val="BodyText"/>
                    <w:spacing w:before="2"/>
                    <w:ind w:left="317" w:right="438"/>
                    <w:jc w:val="center"/>
                    <w:rPr>
                      <w:rFonts w:ascii="Calibri" w:hAnsi="Calibri"/>
                    </w:rPr>
                  </w:pPr>
                  <w:r>
                    <w:rPr>
                      <w:color w:val="FFFFFF"/>
                      <w:w w:val="110"/>
                    </w:rPr>
                    <w:t>Limitations </w:t>
                  </w:r>
                  <w:r>
                    <w:rPr>
                      <w:rFonts w:ascii="Calibri" w:hAnsi="Calibri"/>
                      <w:color w:val="FFFFFF"/>
                      <w:w w:val="110"/>
                    </w:rPr>
                    <w:t>is speciﬁed in the Overview</w:t>
                  </w:r>
                  <w:r>
                    <w:rPr>
                      <w:rFonts w:ascii="Calibri" w:hAnsi="Calibri"/>
                      <w:color w:val="FFFFFF"/>
                      <w:spacing w:val="-22"/>
                      <w:w w:val="110"/>
                    </w:rPr>
                    <w:t> </w:t>
                  </w:r>
                  <w:r>
                    <w:rPr>
                      <w:rFonts w:ascii="Calibri" w:hAnsi="Calibri"/>
                      <w:color w:val="FFFFFF"/>
                      <w:w w:val="110"/>
                    </w:rPr>
                    <w:t>Policy.</w:t>
                  </w:r>
                </w:p>
              </w:txbxContent>
            </v:textbox>
            <v:fill type="solid"/>
            <w10:wrap type="topAndBottom"/>
          </v:shape>
        </w:pict>
      </w:r>
    </w:p>
    <w:sectPr>
      <w:pgSz w:w="12240" w:h="15840"/>
      <w:pgMar w:top="760" w:bottom="280" w:left="30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Helvetica">
    <w:altName w:val="Helvetica"/>
    <w:charset w:val="0"/>
    <w:family w:val="swiss"/>
    <w:pitch w:val="variable"/>
  </w:font>
  <w:font w:name="Garamond">
    <w:altName w:val="Garamond"/>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39" w:hanging="173"/>
      </w:pPr>
      <w:rPr>
        <w:rFonts w:hint="default" w:ascii="Calibri" w:hAnsi="Calibri" w:eastAsia="Calibri" w:cs="Calibri"/>
        <w:w w:val="56"/>
        <w:sz w:val="25"/>
        <w:szCs w:val="25"/>
        <w:lang w:val="en-us" w:eastAsia="en-us" w:bidi="en-us"/>
      </w:rPr>
    </w:lvl>
    <w:lvl w:ilvl="1">
      <w:start w:val="0"/>
      <w:numFmt w:val="bullet"/>
      <w:lvlText w:val="•"/>
      <w:lvlJc w:val="left"/>
      <w:pPr>
        <w:ind w:left="777" w:hanging="173"/>
      </w:pPr>
      <w:rPr>
        <w:rFonts w:hint="default"/>
        <w:lang w:val="en-us" w:eastAsia="en-us" w:bidi="en-us"/>
      </w:rPr>
    </w:lvl>
    <w:lvl w:ilvl="2">
      <w:start w:val="0"/>
      <w:numFmt w:val="bullet"/>
      <w:lvlText w:val="•"/>
      <w:lvlJc w:val="left"/>
      <w:pPr>
        <w:ind w:left="1314" w:hanging="173"/>
      </w:pPr>
      <w:rPr>
        <w:rFonts w:hint="default"/>
        <w:lang w:val="en-us" w:eastAsia="en-us" w:bidi="en-us"/>
      </w:rPr>
    </w:lvl>
    <w:lvl w:ilvl="3">
      <w:start w:val="0"/>
      <w:numFmt w:val="bullet"/>
      <w:lvlText w:val="•"/>
      <w:lvlJc w:val="left"/>
      <w:pPr>
        <w:ind w:left="1851" w:hanging="173"/>
      </w:pPr>
      <w:rPr>
        <w:rFonts w:hint="default"/>
        <w:lang w:val="en-us" w:eastAsia="en-us" w:bidi="en-us"/>
      </w:rPr>
    </w:lvl>
    <w:lvl w:ilvl="4">
      <w:start w:val="0"/>
      <w:numFmt w:val="bullet"/>
      <w:lvlText w:val="•"/>
      <w:lvlJc w:val="left"/>
      <w:pPr>
        <w:ind w:left="2388" w:hanging="173"/>
      </w:pPr>
      <w:rPr>
        <w:rFonts w:hint="default"/>
        <w:lang w:val="en-us" w:eastAsia="en-us" w:bidi="en-us"/>
      </w:rPr>
    </w:lvl>
    <w:lvl w:ilvl="5">
      <w:start w:val="0"/>
      <w:numFmt w:val="bullet"/>
      <w:lvlText w:val="•"/>
      <w:lvlJc w:val="left"/>
      <w:pPr>
        <w:ind w:left="2925" w:hanging="173"/>
      </w:pPr>
      <w:rPr>
        <w:rFonts w:hint="default"/>
        <w:lang w:val="en-us" w:eastAsia="en-us" w:bidi="en-us"/>
      </w:rPr>
    </w:lvl>
    <w:lvl w:ilvl="6">
      <w:start w:val="0"/>
      <w:numFmt w:val="bullet"/>
      <w:lvlText w:val="•"/>
      <w:lvlJc w:val="left"/>
      <w:pPr>
        <w:ind w:left="3463" w:hanging="173"/>
      </w:pPr>
      <w:rPr>
        <w:rFonts w:hint="default"/>
        <w:lang w:val="en-us" w:eastAsia="en-us" w:bidi="en-us"/>
      </w:rPr>
    </w:lvl>
    <w:lvl w:ilvl="7">
      <w:start w:val="0"/>
      <w:numFmt w:val="bullet"/>
      <w:lvlText w:val="•"/>
      <w:lvlJc w:val="left"/>
      <w:pPr>
        <w:ind w:left="4000" w:hanging="173"/>
      </w:pPr>
      <w:rPr>
        <w:rFonts w:hint="default"/>
        <w:lang w:val="en-us" w:eastAsia="en-us" w:bidi="en-us"/>
      </w:rPr>
    </w:lvl>
    <w:lvl w:ilvl="8">
      <w:start w:val="0"/>
      <w:numFmt w:val="bullet"/>
      <w:lvlText w:val="•"/>
      <w:lvlJc w:val="left"/>
      <w:pPr>
        <w:ind w:left="4537" w:hanging="173"/>
      </w:pPr>
      <w:rPr>
        <w:rFonts w:hint="default"/>
        <w:lang w:val="en-us" w:eastAsia="en-us" w:bidi="en-us"/>
      </w:rPr>
    </w:lvl>
  </w:abstractNum>
  <w:abstractNum w:abstractNumId="0">
    <w:multiLevelType w:val="hybridMultilevel"/>
    <w:lvl w:ilvl="0">
      <w:start w:val="0"/>
      <w:numFmt w:val="bullet"/>
      <w:lvlText w:val="•"/>
      <w:lvlJc w:val="left"/>
      <w:pPr>
        <w:ind w:left="332" w:hanging="86"/>
      </w:pPr>
      <w:rPr>
        <w:rFonts w:hint="default" w:ascii="Calibri" w:hAnsi="Calibri" w:eastAsia="Calibri" w:cs="Calibri"/>
        <w:spacing w:val="11"/>
        <w:w w:val="58"/>
        <w:sz w:val="23"/>
        <w:szCs w:val="23"/>
        <w:lang w:val="en-us" w:eastAsia="en-us" w:bidi="en-us"/>
      </w:rPr>
    </w:lvl>
    <w:lvl w:ilvl="1">
      <w:start w:val="0"/>
      <w:numFmt w:val="bullet"/>
      <w:lvlText w:val="•"/>
      <w:lvlJc w:val="left"/>
      <w:pPr>
        <w:ind w:left="904" w:hanging="86"/>
      </w:pPr>
      <w:rPr>
        <w:rFonts w:hint="default"/>
        <w:lang w:val="en-us" w:eastAsia="en-us" w:bidi="en-us"/>
      </w:rPr>
    </w:lvl>
    <w:lvl w:ilvl="2">
      <w:start w:val="0"/>
      <w:numFmt w:val="bullet"/>
      <w:lvlText w:val="•"/>
      <w:lvlJc w:val="left"/>
      <w:pPr>
        <w:ind w:left="1469" w:hanging="86"/>
      </w:pPr>
      <w:rPr>
        <w:rFonts w:hint="default"/>
        <w:lang w:val="en-us" w:eastAsia="en-us" w:bidi="en-us"/>
      </w:rPr>
    </w:lvl>
    <w:lvl w:ilvl="3">
      <w:start w:val="0"/>
      <w:numFmt w:val="bullet"/>
      <w:lvlText w:val="•"/>
      <w:lvlJc w:val="left"/>
      <w:pPr>
        <w:ind w:left="2034" w:hanging="86"/>
      </w:pPr>
      <w:rPr>
        <w:rFonts w:hint="default"/>
        <w:lang w:val="en-us" w:eastAsia="en-us" w:bidi="en-us"/>
      </w:rPr>
    </w:lvl>
    <w:lvl w:ilvl="4">
      <w:start w:val="0"/>
      <w:numFmt w:val="bullet"/>
      <w:lvlText w:val="•"/>
      <w:lvlJc w:val="left"/>
      <w:pPr>
        <w:ind w:left="2599" w:hanging="86"/>
      </w:pPr>
      <w:rPr>
        <w:rFonts w:hint="default"/>
        <w:lang w:val="en-us" w:eastAsia="en-us" w:bidi="en-us"/>
      </w:rPr>
    </w:lvl>
    <w:lvl w:ilvl="5">
      <w:start w:val="0"/>
      <w:numFmt w:val="bullet"/>
      <w:lvlText w:val="•"/>
      <w:lvlJc w:val="left"/>
      <w:pPr>
        <w:ind w:left="3164" w:hanging="86"/>
      </w:pPr>
      <w:rPr>
        <w:rFonts w:hint="default"/>
        <w:lang w:val="en-us" w:eastAsia="en-us" w:bidi="en-us"/>
      </w:rPr>
    </w:lvl>
    <w:lvl w:ilvl="6">
      <w:start w:val="0"/>
      <w:numFmt w:val="bullet"/>
      <w:lvlText w:val="•"/>
      <w:lvlJc w:val="left"/>
      <w:pPr>
        <w:ind w:left="3728" w:hanging="86"/>
      </w:pPr>
      <w:rPr>
        <w:rFonts w:hint="default"/>
        <w:lang w:val="en-us" w:eastAsia="en-us" w:bidi="en-us"/>
      </w:rPr>
    </w:lvl>
    <w:lvl w:ilvl="7">
      <w:start w:val="0"/>
      <w:numFmt w:val="bullet"/>
      <w:lvlText w:val="•"/>
      <w:lvlJc w:val="left"/>
      <w:pPr>
        <w:ind w:left="4293" w:hanging="86"/>
      </w:pPr>
      <w:rPr>
        <w:rFonts w:hint="default"/>
        <w:lang w:val="en-us" w:eastAsia="en-us" w:bidi="en-us"/>
      </w:rPr>
    </w:lvl>
    <w:lvl w:ilvl="8">
      <w:start w:val="0"/>
      <w:numFmt w:val="bullet"/>
      <w:lvlText w:val="•"/>
      <w:lvlJc w:val="left"/>
      <w:pPr>
        <w:ind w:left="4858" w:hanging="86"/>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en-us" w:eastAsia="en-us" w:bidi="en-us"/>
    </w:rPr>
  </w:style>
  <w:style w:styleId="BodyText" w:type="paragraph">
    <w:name w:val="Body Text"/>
    <w:basedOn w:val="Normal"/>
    <w:uiPriority w:val="1"/>
    <w:qFormat/>
    <w:pPr/>
    <w:rPr>
      <w:rFonts w:ascii="Helvetica" w:hAnsi="Helvetica" w:eastAsia="Helvetica" w:cs="Helvetica"/>
      <w:sz w:val="24"/>
      <w:szCs w:val="24"/>
      <w:lang w:val="en-us" w:eastAsia="en-us" w:bidi="en-us"/>
    </w:rPr>
  </w:style>
  <w:style w:styleId="ListParagraph" w:type="paragraph">
    <w:name w:val="List Paragraph"/>
    <w:basedOn w:val="Normal"/>
    <w:uiPriority w:val="1"/>
    <w:qFormat/>
    <w:pPr>
      <w:spacing w:before="92"/>
      <w:ind w:left="332" w:hanging="85"/>
    </w:pPr>
    <w:rPr>
      <w:rFonts w:ascii="Calibri" w:hAnsi="Calibri" w:eastAsia="Calibri" w:cs="Calibri"/>
      <w:lang w:val="en-us" w:eastAsia="en-us" w:bidi="en-us"/>
    </w:rPr>
  </w:style>
  <w:style w:styleId="TableParagraph" w:type="paragraph">
    <w:name w:val="Table Paragraph"/>
    <w:basedOn w:val="Normal"/>
    <w:uiPriority w:val="1"/>
    <w:qFormat/>
    <w:pPr>
      <w:spacing w:before="154"/>
      <w:ind w:left="230" w:right="200"/>
      <w:jc w:val="center"/>
    </w:pPr>
    <w:rPr>
      <w:rFonts w:ascii="Helvetica" w:hAnsi="Helvetica" w:eastAsia="Helvetica" w:cs="Helvetica"/>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mailto:customerservice@uhcsr.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Cavallaro</dc:creator>
  <dc:title>2026-2027 SUNY Inbound 41-42 Highlight Sheet</dc:title>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Acrobat PDFMaker 26 for Word</vt:lpwstr>
  </property>
  <property fmtid="{D5CDD505-2E9C-101B-9397-08002B2CF9AE}" pid="4" name="LastSaved">
    <vt:filetime>2026-07-29T00:00:00Z</vt:filetime>
  </property>
</Properties>
</file>