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7906"/>
      </w:tblGrid>
      <w:tr w:rsidR="00B12177" w:rsidTr="00D54DE4">
        <w:trPr>
          <w:trHeight w:val="398"/>
        </w:trPr>
        <w:tc>
          <w:tcPr>
            <w:tcW w:w="2709" w:type="dxa"/>
            <w:vMerge w:val="restart"/>
            <w:vAlign w:val="center"/>
          </w:tcPr>
          <w:p w:rsidR="00B12177" w:rsidRDefault="00B12177" w:rsidP="00D54D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C9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371600" cy="457200"/>
                  <wp:effectExtent l="19050" t="0" r="0" b="0"/>
                  <wp:docPr id="4" name="Picture 2" descr="logo-1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1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</w:tcPr>
          <w:p w:rsidR="00B12177" w:rsidRDefault="00B12177" w:rsidP="00D54DE4">
            <w:pPr>
              <w:jc w:val="both"/>
              <w:rPr>
                <w:rFonts w:ascii="Verdana" w:hAnsi="Verdana" w:cs="Arial"/>
                <w:bCs/>
              </w:rPr>
            </w:pPr>
            <w:r w:rsidRPr="00771C91">
              <w:rPr>
                <w:rFonts w:ascii="Verdana" w:hAnsi="Verdana" w:cs="Arial"/>
                <w:b/>
                <w:bCs/>
              </w:rPr>
              <w:t>Approved By:</w:t>
            </w:r>
            <w:r>
              <w:rPr>
                <w:rFonts w:ascii="Verdana" w:hAnsi="Verdana" w:cs="Arial"/>
                <w:bCs/>
              </w:rPr>
              <w:t xml:space="preserve">   Cabinet</w:t>
            </w:r>
          </w:p>
          <w:p w:rsidR="0096662B" w:rsidRPr="0046098B" w:rsidRDefault="00745E8A" w:rsidP="0096662B">
            <w:pPr>
              <w:jc w:val="both"/>
              <w:rPr>
                <w:rFonts w:ascii="Verdana" w:hAnsi="Verdana" w:cs="Arial"/>
                <w:bCs/>
              </w:rPr>
            </w:pPr>
            <w:r w:rsidRPr="0046098B">
              <w:rPr>
                <w:rFonts w:ascii="Verdana" w:hAnsi="Verdana" w:cs="Arial"/>
                <w:b/>
                <w:bCs/>
              </w:rPr>
              <w:t xml:space="preserve">Effective </w:t>
            </w:r>
            <w:r w:rsidR="00B12177" w:rsidRPr="0046098B">
              <w:rPr>
                <w:rFonts w:ascii="Verdana" w:hAnsi="Verdana" w:cs="Arial"/>
                <w:b/>
                <w:bCs/>
              </w:rPr>
              <w:t>Date:</w:t>
            </w:r>
            <w:r w:rsidR="00B12177" w:rsidRPr="0046098B">
              <w:rPr>
                <w:rFonts w:ascii="Verdana" w:hAnsi="Verdana" w:cs="Arial"/>
                <w:bCs/>
              </w:rPr>
              <w:t xml:space="preserve"> </w:t>
            </w:r>
            <w:r w:rsidR="0046098B">
              <w:rPr>
                <w:rFonts w:ascii="Verdana" w:hAnsi="Verdana" w:cs="Arial"/>
                <w:bCs/>
              </w:rPr>
              <w:t>9/1/16</w:t>
            </w:r>
          </w:p>
          <w:p w:rsidR="00B12177" w:rsidRPr="00B12177" w:rsidRDefault="00B12177" w:rsidP="0096662B">
            <w:pPr>
              <w:jc w:val="both"/>
              <w:rPr>
                <w:rFonts w:ascii="Verdana" w:hAnsi="Verdana" w:cs="Arial"/>
                <w:b/>
                <w:bCs/>
              </w:rPr>
            </w:pPr>
            <w:r w:rsidRPr="00B12177">
              <w:rPr>
                <w:rFonts w:ascii="Verdana" w:hAnsi="Verdana" w:cs="Arial"/>
                <w:b/>
                <w:bCs/>
              </w:rPr>
              <w:t xml:space="preserve">Supersedes issue of: </w:t>
            </w:r>
            <w:r w:rsidR="00D54DE4" w:rsidRPr="00D54DE4">
              <w:rPr>
                <w:rFonts w:ascii="Verdana" w:hAnsi="Verdana" w:cs="Arial"/>
                <w:bCs/>
              </w:rPr>
              <w:t>N/A</w:t>
            </w:r>
          </w:p>
        </w:tc>
      </w:tr>
      <w:tr w:rsidR="00B12177" w:rsidTr="00D54DE4">
        <w:trPr>
          <w:trHeight w:val="397"/>
        </w:trPr>
        <w:tc>
          <w:tcPr>
            <w:tcW w:w="2709" w:type="dxa"/>
            <w:vMerge/>
          </w:tcPr>
          <w:p w:rsidR="00B12177" w:rsidRPr="00771C91" w:rsidRDefault="00B12177" w:rsidP="00D54D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19" w:type="dxa"/>
          </w:tcPr>
          <w:p w:rsidR="00B12177" w:rsidRDefault="00B12177" w:rsidP="00D54DE4">
            <w:pPr>
              <w:jc w:val="both"/>
              <w:rPr>
                <w:rFonts w:ascii="Verdana" w:hAnsi="Verdana" w:cs="Arial"/>
                <w:bCs/>
              </w:rPr>
            </w:pPr>
            <w:r w:rsidRPr="00771C91">
              <w:rPr>
                <w:rFonts w:ascii="Verdana" w:hAnsi="Verdana" w:cs="Arial"/>
                <w:b/>
                <w:bCs/>
              </w:rPr>
              <w:t>Category:</w:t>
            </w:r>
            <w:r>
              <w:rPr>
                <w:rFonts w:ascii="Verdana" w:hAnsi="Verdana" w:cs="Arial"/>
                <w:bCs/>
              </w:rPr>
              <w:t xml:space="preserve">         Human Resources</w:t>
            </w:r>
          </w:p>
          <w:p w:rsidR="00B12177" w:rsidRDefault="00B12177" w:rsidP="00D54DE4">
            <w:pPr>
              <w:jc w:val="both"/>
              <w:rPr>
                <w:rFonts w:ascii="Verdana" w:hAnsi="Verdana" w:cs="Arial"/>
                <w:bCs/>
              </w:rPr>
            </w:pPr>
            <w:r w:rsidRPr="00771C91">
              <w:rPr>
                <w:rFonts w:ascii="Verdana" w:hAnsi="Verdana" w:cs="Arial"/>
                <w:b/>
                <w:bCs/>
              </w:rPr>
              <w:t>Contact:</w:t>
            </w:r>
            <w:r>
              <w:rPr>
                <w:rFonts w:ascii="Verdana" w:hAnsi="Verdana" w:cs="Arial"/>
                <w:bCs/>
              </w:rPr>
              <w:t xml:space="preserve">           Director of Human Resources </w:t>
            </w:r>
          </w:p>
          <w:p w:rsidR="00B12177" w:rsidRPr="00771C91" w:rsidRDefault="00211C7D" w:rsidP="00D54DE4">
            <w:pPr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                       </w:t>
            </w:r>
            <w:r w:rsidR="00B12177">
              <w:rPr>
                <w:rFonts w:ascii="Verdana" w:hAnsi="Verdana" w:cs="Arial"/>
                <w:bCs/>
              </w:rPr>
              <w:t>631-420-2107</w:t>
            </w:r>
          </w:p>
        </w:tc>
      </w:tr>
    </w:tbl>
    <w:p w:rsidR="00B12177" w:rsidRDefault="00B12177" w:rsidP="00B1217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6662B" w:rsidRDefault="0096662B" w:rsidP="0096662B">
      <w:pPr>
        <w:pBdr>
          <w:top w:val="thickThinLargeGap" w:sz="24" w:space="1" w:color="auto"/>
          <w:bottom w:val="thickThinLargeGap" w:sz="2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POLICY</w:t>
      </w:r>
    </w:p>
    <w:p w:rsidR="006C6F94" w:rsidRPr="00F07D3D" w:rsidRDefault="006C6F94" w:rsidP="00DE1810">
      <w:pPr>
        <w:pStyle w:val="Default"/>
        <w:rPr>
          <w:rFonts w:ascii="Verdana" w:hAnsi="Verdana"/>
          <w:bCs/>
          <w:sz w:val="16"/>
          <w:szCs w:val="16"/>
        </w:rPr>
      </w:pPr>
    </w:p>
    <w:p w:rsidR="00C3679C" w:rsidRDefault="006C6F94" w:rsidP="00B12177">
      <w:pPr>
        <w:pStyle w:val="Default"/>
        <w:rPr>
          <w:rFonts w:ascii="Verdana" w:hAnsi="Verdana" w:cs="Helvetica"/>
          <w:color w:val="333333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Staff </w:t>
      </w:r>
      <w:r w:rsidR="00DE1810">
        <w:rPr>
          <w:rFonts w:ascii="Verdana" w:hAnsi="Verdana"/>
          <w:bCs/>
          <w:sz w:val="22"/>
          <w:szCs w:val="22"/>
        </w:rPr>
        <w:t>assignment</w:t>
      </w:r>
      <w:r>
        <w:rPr>
          <w:rFonts w:ascii="Verdana" w:hAnsi="Verdana"/>
          <w:bCs/>
          <w:sz w:val="22"/>
          <w:szCs w:val="22"/>
        </w:rPr>
        <w:t>s</w:t>
      </w:r>
      <w:r w:rsidR="00DE1810">
        <w:rPr>
          <w:rFonts w:ascii="Verdana" w:hAnsi="Verdana"/>
          <w:bCs/>
          <w:sz w:val="22"/>
          <w:szCs w:val="22"/>
        </w:rPr>
        <w:t xml:space="preserve"> of limited duration</w:t>
      </w:r>
      <w:r>
        <w:rPr>
          <w:rFonts w:ascii="Verdana" w:hAnsi="Verdana"/>
          <w:bCs/>
          <w:sz w:val="22"/>
          <w:szCs w:val="22"/>
        </w:rPr>
        <w:t xml:space="preserve"> may be filled using</w:t>
      </w:r>
      <w:r w:rsidR="003C1540">
        <w:rPr>
          <w:rFonts w:ascii="Verdana" w:hAnsi="Verdana"/>
          <w:bCs/>
          <w:sz w:val="22"/>
          <w:szCs w:val="22"/>
        </w:rPr>
        <w:t xml:space="preserve"> a temporary service</w:t>
      </w:r>
      <w:r w:rsidR="00DE1810">
        <w:rPr>
          <w:rFonts w:ascii="Verdana" w:hAnsi="Verdana"/>
          <w:bCs/>
          <w:sz w:val="22"/>
          <w:szCs w:val="22"/>
        </w:rPr>
        <w:t xml:space="preserve"> agency</w:t>
      </w:r>
      <w:r>
        <w:rPr>
          <w:rFonts w:ascii="Verdana" w:hAnsi="Verdana"/>
          <w:bCs/>
          <w:sz w:val="22"/>
          <w:szCs w:val="22"/>
        </w:rPr>
        <w:t xml:space="preserve">. </w:t>
      </w:r>
      <w:r w:rsidR="00DE1810">
        <w:rPr>
          <w:rFonts w:ascii="Verdana" w:hAnsi="Verdana"/>
          <w:bCs/>
          <w:sz w:val="22"/>
          <w:szCs w:val="22"/>
        </w:rPr>
        <w:t xml:space="preserve">Arrangement to hire any temporary </w:t>
      </w:r>
      <w:r>
        <w:rPr>
          <w:rFonts w:ascii="Verdana" w:hAnsi="Verdana"/>
          <w:bCs/>
          <w:sz w:val="22"/>
          <w:szCs w:val="22"/>
        </w:rPr>
        <w:t xml:space="preserve">personnel </w:t>
      </w:r>
      <w:r w:rsidR="004575B9">
        <w:rPr>
          <w:rFonts w:ascii="Verdana" w:hAnsi="Verdana"/>
          <w:bCs/>
          <w:sz w:val="22"/>
          <w:szCs w:val="22"/>
        </w:rPr>
        <w:t>must</w:t>
      </w:r>
      <w:r>
        <w:rPr>
          <w:rFonts w:ascii="Verdana" w:hAnsi="Verdana"/>
          <w:bCs/>
          <w:sz w:val="22"/>
          <w:szCs w:val="22"/>
        </w:rPr>
        <w:t xml:space="preserve"> be arranged through the Department of Human Resources.</w:t>
      </w:r>
      <w:r w:rsidR="004575B9" w:rsidRPr="004575B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575B9" w:rsidRPr="004575B9">
        <w:rPr>
          <w:rFonts w:ascii="Verdana" w:hAnsi="Verdana" w:cs="Helvetica"/>
          <w:color w:val="333333"/>
          <w:sz w:val="22"/>
          <w:szCs w:val="22"/>
        </w:rPr>
        <w:t>Temporary staffing is available to departments to complete day-to-day work while posting and recruiting for a replacement or for extra assistance to complete a short-term project.</w:t>
      </w:r>
      <w:r w:rsidR="00493A22">
        <w:rPr>
          <w:rFonts w:ascii="Verdana" w:hAnsi="Verdana" w:cs="Helvetica"/>
          <w:color w:val="333333"/>
          <w:sz w:val="22"/>
          <w:szCs w:val="22"/>
        </w:rPr>
        <w:t xml:space="preserve">  Temporary staffing appointments cannot exceed four (4) months.  </w:t>
      </w:r>
    </w:p>
    <w:p w:rsidR="00EE78E3" w:rsidRPr="00F07D3D" w:rsidRDefault="00EE78E3" w:rsidP="00B12177">
      <w:pPr>
        <w:pStyle w:val="Default"/>
        <w:rPr>
          <w:b/>
          <w:bCs/>
          <w:sz w:val="16"/>
          <w:szCs w:val="16"/>
        </w:rPr>
      </w:pPr>
    </w:p>
    <w:p w:rsidR="00B12177" w:rsidRDefault="00B12177" w:rsidP="00B12177">
      <w:pPr>
        <w:pBdr>
          <w:top w:val="thickThinLargeGap" w:sz="24" w:space="1" w:color="auto"/>
          <w:bottom w:val="thickThinLargeGap" w:sz="2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PROCEDURE</w:t>
      </w:r>
    </w:p>
    <w:p w:rsidR="00D16C9A" w:rsidRPr="00F07D3D" w:rsidRDefault="006C6F94" w:rsidP="006C6F94">
      <w:pPr>
        <w:pStyle w:val="ListParagraph"/>
        <w:spacing w:after="0" w:line="240" w:lineRule="auto"/>
        <w:rPr>
          <w:rFonts w:ascii="Verdana" w:hAnsi="Verdana" w:cs="Arial"/>
          <w:sz w:val="16"/>
          <w:szCs w:val="16"/>
        </w:rPr>
      </w:pPr>
      <w:r w:rsidRPr="00F07D3D">
        <w:rPr>
          <w:rFonts w:ascii="Verdana" w:hAnsi="Verdana" w:cs="Arial"/>
          <w:sz w:val="16"/>
          <w:szCs w:val="16"/>
        </w:rPr>
        <w:t xml:space="preserve"> </w:t>
      </w:r>
    </w:p>
    <w:p w:rsidR="00947868" w:rsidRPr="00947868" w:rsidRDefault="004330C1" w:rsidP="00947868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</w:t>
      </w:r>
      <w:r w:rsidR="006C6F94">
        <w:rPr>
          <w:rFonts w:ascii="Verdana" w:hAnsi="Verdana" w:cs="Arial"/>
          <w:sz w:val="24"/>
          <w:szCs w:val="24"/>
        </w:rPr>
        <w:t xml:space="preserve">he </w:t>
      </w:r>
      <w:r>
        <w:rPr>
          <w:rFonts w:ascii="Verdana" w:hAnsi="Verdana" w:cs="Arial"/>
          <w:sz w:val="24"/>
          <w:szCs w:val="24"/>
        </w:rPr>
        <w:t xml:space="preserve">Temporary Staffing Agency Request form must be completed and approved by the area Vice President and Budget.  </w:t>
      </w:r>
    </w:p>
    <w:p w:rsidR="004330C1" w:rsidRPr="00F22B2A" w:rsidRDefault="004330C1" w:rsidP="00F22B2A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</w:rPr>
      </w:pPr>
      <w:r w:rsidRPr="00F22B2A">
        <w:rPr>
          <w:rFonts w:ascii="Verdana" w:hAnsi="Verdana" w:cs="Arial"/>
          <w:sz w:val="24"/>
          <w:szCs w:val="24"/>
        </w:rPr>
        <w:t xml:space="preserve">The form can be located on the website at: </w:t>
      </w:r>
      <w:hyperlink r:id="rId8" w:history="1">
        <w:r w:rsidR="001C0F47" w:rsidRPr="00686FEF">
          <w:rPr>
            <w:rStyle w:val="Hyperlink"/>
            <w:rFonts w:ascii="Verdana" w:hAnsi="Verdana"/>
          </w:rPr>
          <w:t>https://www.farmingdale.edu/administration/administration-finance/human-resources/pdf/temporary_staffing_form_2017.pdf</w:t>
        </w:r>
      </w:hyperlink>
    </w:p>
    <w:p w:rsidR="004330C1" w:rsidRPr="004330C1" w:rsidRDefault="004330C1" w:rsidP="006C6F94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</w:rPr>
        <w:t xml:space="preserve">Once </w:t>
      </w:r>
      <w:r w:rsidRPr="004330C1">
        <w:rPr>
          <w:rFonts w:ascii="Verdana" w:hAnsi="Verdana" w:cs="Arial"/>
          <w:sz w:val="24"/>
          <w:szCs w:val="24"/>
        </w:rPr>
        <w:t>approved</w:t>
      </w:r>
      <w:r>
        <w:rPr>
          <w:rFonts w:ascii="Verdana" w:hAnsi="Verdana" w:cs="Arial"/>
          <w:sz w:val="24"/>
          <w:szCs w:val="24"/>
        </w:rPr>
        <w:t xml:space="preserve">, the request </w:t>
      </w:r>
      <w:r w:rsidRPr="004330C1">
        <w:rPr>
          <w:rFonts w:ascii="Verdana" w:hAnsi="Verdana" w:cs="Arial"/>
          <w:sz w:val="24"/>
          <w:szCs w:val="24"/>
        </w:rPr>
        <w:t>form will be submitted to Human Resources</w:t>
      </w:r>
    </w:p>
    <w:p w:rsidR="004330C1" w:rsidRPr="00947868" w:rsidRDefault="004330C1" w:rsidP="006C6F94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 w:cs="Arial"/>
          <w:sz w:val="24"/>
          <w:szCs w:val="24"/>
          <w:u w:val="single"/>
        </w:rPr>
      </w:pPr>
      <w:r w:rsidRPr="004330C1">
        <w:rPr>
          <w:rFonts w:ascii="Verdana" w:hAnsi="Verdana" w:cs="Arial"/>
          <w:sz w:val="24"/>
          <w:szCs w:val="24"/>
        </w:rPr>
        <w:t xml:space="preserve">Human Resources will </w:t>
      </w:r>
      <w:r>
        <w:rPr>
          <w:rFonts w:ascii="Verdana" w:hAnsi="Verdana" w:cs="Arial"/>
          <w:sz w:val="24"/>
          <w:szCs w:val="24"/>
        </w:rPr>
        <w:t>contact the staffing agency to request a temporary staff member.</w:t>
      </w:r>
    </w:p>
    <w:p w:rsidR="00947868" w:rsidRPr="004330C1" w:rsidRDefault="00947868" w:rsidP="006C6F94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</w:rPr>
        <w:t xml:space="preserve">Human Resources will </w:t>
      </w:r>
      <w:r w:rsidR="00F07D3D">
        <w:rPr>
          <w:rFonts w:ascii="Verdana" w:hAnsi="Verdana" w:cs="Arial"/>
          <w:sz w:val="24"/>
          <w:szCs w:val="24"/>
        </w:rPr>
        <w:t>contact</w:t>
      </w:r>
      <w:r>
        <w:rPr>
          <w:rFonts w:ascii="Verdana" w:hAnsi="Verdana" w:cs="Arial"/>
          <w:sz w:val="24"/>
          <w:szCs w:val="24"/>
        </w:rPr>
        <w:t xml:space="preserve"> the hiring department with the temp</w:t>
      </w:r>
      <w:r w:rsidR="00FA120C">
        <w:rPr>
          <w:rFonts w:ascii="Verdana" w:hAnsi="Verdana" w:cs="Arial"/>
          <w:sz w:val="24"/>
          <w:szCs w:val="24"/>
        </w:rPr>
        <w:t>orary</w:t>
      </w:r>
      <w:r>
        <w:rPr>
          <w:rFonts w:ascii="Verdana" w:hAnsi="Verdana" w:cs="Arial"/>
          <w:sz w:val="24"/>
          <w:szCs w:val="24"/>
        </w:rPr>
        <w:t xml:space="preserve"> employee </w:t>
      </w:r>
      <w:r w:rsidR="00F07D3D">
        <w:rPr>
          <w:rFonts w:ascii="Verdana" w:hAnsi="Verdana" w:cs="Arial"/>
          <w:sz w:val="24"/>
          <w:szCs w:val="24"/>
        </w:rPr>
        <w:t>information.</w:t>
      </w:r>
    </w:p>
    <w:p w:rsidR="004330C1" w:rsidRPr="00947868" w:rsidRDefault="00947868" w:rsidP="006C6F94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</w:rPr>
        <w:t xml:space="preserve">Temporary Staff must first report to Human Resources </w:t>
      </w:r>
      <w:r w:rsidR="001C0F47">
        <w:rPr>
          <w:rFonts w:ascii="Verdana" w:hAnsi="Verdana" w:cs="Arial"/>
          <w:sz w:val="24"/>
          <w:szCs w:val="24"/>
        </w:rPr>
        <w:t>to</w:t>
      </w:r>
      <w:r>
        <w:rPr>
          <w:rFonts w:ascii="Verdana" w:hAnsi="Verdana" w:cs="Arial"/>
          <w:sz w:val="24"/>
          <w:szCs w:val="24"/>
        </w:rPr>
        <w:t xml:space="preserve"> produce a photo ID</w:t>
      </w:r>
      <w:r w:rsidR="001C0F47">
        <w:rPr>
          <w:rFonts w:ascii="Verdana" w:hAnsi="Verdana" w:cs="Arial"/>
          <w:sz w:val="24"/>
          <w:szCs w:val="24"/>
        </w:rPr>
        <w:t xml:space="preserve"> and Social Security card, or a valid U.S. Passport</w:t>
      </w:r>
      <w:bookmarkStart w:id="0" w:name="_GoBack"/>
      <w:bookmarkEnd w:id="0"/>
      <w:r>
        <w:rPr>
          <w:rFonts w:ascii="Verdana" w:hAnsi="Verdana" w:cs="Arial"/>
          <w:sz w:val="24"/>
          <w:szCs w:val="24"/>
        </w:rPr>
        <w:t xml:space="preserve"> whic</w:t>
      </w:r>
      <w:r w:rsidR="00F07D3D">
        <w:rPr>
          <w:rFonts w:ascii="Verdana" w:hAnsi="Verdana" w:cs="Arial"/>
          <w:sz w:val="24"/>
          <w:szCs w:val="24"/>
        </w:rPr>
        <w:t>h will be copied</w:t>
      </w:r>
      <w:r>
        <w:rPr>
          <w:rFonts w:ascii="Verdana" w:hAnsi="Verdana" w:cs="Arial"/>
          <w:sz w:val="24"/>
          <w:szCs w:val="24"/>
        </w:rPr>
        <w:t>.</w:t>
      </w:r>
    </w:p>
    <w:p w:rsidR="00947868" w:rsidRPr="00A82312" w:rsidRDefault="00947868" w:rsidP="006C6F94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</w:rPr>
        <w:t>Human Resources will arrange for a temporary</w:t>
      </w:r>
      <w:r w:rsidR="00F07D3D">
        <w:rPr>
          <w:rFonts w:ascii="Verdana" w:hAnsi="Verdana" w:cs="Arial"/>
          <w:sz w:val="24"/>
          <w:szCs w:val="24"/>
        </w:rPr>
        <w:t xml:space="preserve"> parking pass,</w:t>
      </w:r>
      <w:r>
        <w:rPr>
          <w:rFonts w:ascii="Verdana" w:hAnsi="Verdana" w:cs="Arial"/>
          <w:sz w:val="24"/>
          <w:szCs w:val="24"/>
        </w:rPr>
        <w:t xml:space="preserve"> a temporary Farmingdale </w:t>
      </w:r>
      <w:r w:rsidR="00F07D3D">
        <w:rPr>
          <w:rFonts w:ascii="Verdana" w:hAnsi="Verdana" w:cs="Arial"/>
          <w:sz w:val="24"/>
          <w:szCs w:val="24"/>
        </w:rPr>
        <w:t>ID, and computer access.</w:t>
      </w:r>
    </w:p>
    <w:p w:rsidR="00A82312" w:rsidRPr="00A82312" w:rsidRDefault="00A82312" w:rsidP="00A82312">
      <w:pPr>
        <w:pStyle w:val="Default"/>
        <w:numPr>
          <w:ilvl w:val="0"/>
          <w:numId w:val="11"/>
        </w:numPr>
        <w:rPr>
          <w:rFonts w:ascii="Verdana" w:hAnsi="Verdana"/>
          <w:bCs/>
        </w:rPr>
      </w:pPr>
      <w:r w:rsidRPr="00A82312">
        <w:rPr>
          <w:rFonts w:ascii="Verdana" w:hAnsi="Verdana" w:cs="Helvetica"/>
          <w:color w:val="333333"/>
        </w:rPr>
        <w:t>If a</w:t>
      </w:r>
      <w:r>
        <w:rPr>
          <w:rFonts w:ascii="Verdana" w:hAnsi="Verdana" w:cs="Helvetica"/>
          <w:color w:val="333333"/>
        </w:rPr>
        <w:t xml:space="preserve"> temporary is needed for more than four months, the department manager must request an</w:t>
      </w:r>
      <w:r w:rsidRPr="00A82312">
        <w:rPr>
          <w:rFonts w:ascii="Verdana" w:hAnsi="Verdana" w:cs="Helvetica"/>
          <w:color w:val="333333"/>
        </w:rPr>
        <w:t xml:space="preserve"> extension, with justification, to the area Vice President.  The Vice President must forward the request, with their approval, to Human Resources at least </w:t>
      </w:r>
      <w:r>
        <w:rPr>
          <w:rFonts w:ascii="Verdana" w:hAnsi="Verdana" w:cs="Helvetica"/>
          <w:color w:val="333333"/>
        </w:rPr>
        <w:t>one week prior to the scheduled end of the appointment</w:t>
      </w:r>
      <w:r w:rsidR="00C34BDA">
        <w:rPr>
          <w:rFonts w:ascii="Verdana" w:hAnsi="Verdana" w:cs="Helvetica"/>
          <w:color w:val="333333"/>
        </w:rPr>
        <w:t>.</w:t>
      </w:r>
    </w:p>
    <w:p w:rsidR="000E05EC" w:rsidRPr="004330C1" w:rsidRDefault="000E05EC" w:rsidP="000E05EC">
      <w:pPr>
        <w:spacing w:after="0" w:line="240" w:lineRule="auto"/>
        <w:ind w:left="360"/>
        <w:rPr>
          <w:rFonts w:ascii="Verdana" w:hAnsi="Verdana" w:cs="Arial"/>
        </w:rPr>
      </w:pPr>
    </w:p>
    <w:p w:rsidR="000E05EC" w:rsidRDefault="000E05EC" w:rsidP="000E05EC">
      <w:pPr>
        <w:pBdr>
          <w:top w:val="thickThinLargeGap" w:sz="24" w:space="1" w:color="auto"/>
          <w:bottom w:val="thickThinLargeGap" w:sz="2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RELATED POLICIES</w:t>
      </w:r>
    </w:p>
    <w:p w:rsidR="000E05EC" w:rsidRPr="00F07D3D" w:rsidRDefault="000E05EC" w:rsidP="000E05EC">
      <w:pPr>
        <w:spacing w:after="0" w:line="240" w:lineRule="auto"/>
        <w:ind w:left="360"/>
        <w:rPr>
          <w:rFonts w:ascii="Verdana" w:hAnsi="Verdana" w:cs="Arial"/>
          <w:sz w:val="16"/>
          <w:szCs w:val="16"/>
        </w:rPr>
      </w:pPr>
    </w:p>
    <w:p w:rsidR="000E05EC" w:rsidRPr="000E05EC" w:rsidRDefault="000E05EC" w:rsidP="000E05EC">
      <w:pPr>
        <w:spacing w:after="0" w:line="240" w:lineRule="auto"/>
        <w:ind w:left="360"/>
        <w:rPr>
          <w:rFonts w:ascii="Verdana" w:hAnsi="Verdana" w:cs="Arial"/>
          <w:b/>
        </w:rPr>
      </w:pPr>
      <w:r w:rsidRPr="000E05EC">
        <w:rPr>
          <w:rFonts w:ascii="Verdana" w:hAnsi="Verdana" w:cs="Arial"/>
          <w:b/>
        </w:rPr>
        <w:t>Farmingdale State College Search Procedure Manual</w:t>
      </w:r>
    </w:p>
    <w:p w:rsidR="00C23F42" w:rsidRDefault="00DD53EA" w:rsidP="008E7CCA">
      <w:pPr>
        <w:spacing w:after="0" w:line="240" w:lineRule="auto"/>
        <w:ind w:left="360"/>
        <w:rPr>
          <w:rFonts w:ascii="Verdana" w:hAnsi="Verdana" w:cs="Arial"/>
        </w:rPr>
      </w:pPr>
      <w:hyperlink r:id="rId9" w:history="1">
        <w:r w:rsidR="00CB4A68" w:rsidRPr="00D0333D">
          <w:rPr>
            <w:rStyle w:val="Hyperlink"/>
            <w:rFonts w:ascii="Verdana" w:hAnsi="Verdana" w:cs="Arial"/>
          </w:rPr>
          <w:t>https://www.farmingdale.edu/administration/administration-finance/human-resources/pdf/search_procedure_manual_revised_09092016.pdf</w:t>
        </w:r>
      </w:hyperlink>
      <w:r w:rsidR="00C23F42" w:rsidRPr="00C23F42">
        <w:rPr>
          <w:rFonts w:ascii="Verdana" w:hAnsi="Verdana" w:cs="Arial"/>
        </w:rPr>
        <w:t xml:space="preserve"> </w:t>
      </w:r>
    </w:p>
    <w:p w:rsidR="00C23F42" w:rsidRDefault="00C23F42" w:rsidP="008E7CCA">
      <w:pPr>
        <w:spacing w:after="0" w:line="240" w:lineRule="auto"/>
        <w:ind w:left="360"/>
        <w:rPr>
          <w:rFonts w:ascii="Verdana" w:hAnsi="Verdana" w:cs="Arial"/>
        </w:rPr>
      </w:pPr>
    </w:p>
    <w:p w:rsidR="00F22B2A" w:rsidRDefault="00F22B2A" w:rsidP="008E7CCA">
      <w:pPr>
        <w:spacing w:after="0" w:line="240" w:lineRule="auto"/>
        <w:ind w:left="360"/>
        <w:rPr>
          <w:rFonts w:ascii="Verdana" w:hAnsi="Verdana" w:cs="Arial"/>
          <w:b/>
        </w:rPr>
      </w:pPr>
    </w:p>
    <w:p w:rsidR="008E7CCA" w:rsidRDefault="008E7CCA" w:rsidP="008E7CCA">
      <w:pPr>
        <w:spacing w:after="0" w:line="240" w:lineRule="auto"/>
        <w:ind w:left="36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Part Time Recruiting and Hiring</w:t>
      </w:r>
    </w:p>
    <w:p w:rsidR="00F22B2A" w:rsidRDefault="00DD53EA" w:rsidP="00F22B2A">
      <w:pPr>
        <w:spacing w:after="0" w:line="240" w:lineRule="auto"/>
        <w:ind w:left="360"/>
        <w:rPr>
          <w:rFonts w:ascii="Verdana" w:hAnsi="Verdana"/>
        </w:rPr>
      </w:pPr>
      <w:hyperlink r:id="rId10" w:history="1">
        <w:r w:rsidR="00E473FC" w:rsidRPr="004F22F1">
          <w:rPr>
            <w:rStyle w:val="Hyperlink"/>
            <w:rFonts w:ascii="Verdana" w:hAnsi="Verdana"/>
          </w:rPr>
          <w:t>https://www.farmingdale.edu/administration/administration-finance/human-resources/pdf/part_time_recruiting_and_hiring_final_9_9_16_revised.docx</w:t>
        </w:r>
      </w:hyperlink>
    </w:p>
    <w:p w:rsidR="00F36C82" w:rsidRDefault="00F36C82" w:rsidP="00F22B2A">
      <w:pPr>
        <w:spacing w:after="0" w:line="240" w:lineRule="auto"/>
        <w:ind w:left="360"/>
        <w:rPr>
          <w:rFonts w:ascii="Verdana" w:hAnsi="Verdana"/>
          <w:color w:val="0070C0"/>
          <w:u w:val="single"/>
        </w:rPr>
      </w:pPr>
    </w:p>
    <w:sectPr w:rsidR="00F36C82" w:rsidSect="00F74554">
      <w:headerReference w:type="default" r:id="rId11"/>
      <w:pgSz w:w="12240" w:h="15840"/>
      <w:pgMar w:top="450" w:right="810" w:bottom="11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EA" w:rsidRDefault="00DD53EA" w:rsidP="00B12177">
      <w:pPr>
        <w:spacing w:after="0" w:line="240" w:lineRule="auto"/>
      </w:pPr>
      <w:r>
        <w:separator/>
      </w:r>
    </w:p>
  </w:endnote>
  <w:endnote w:type="continuationSeparator" w:id="0">
    <w:p w:rsidR="00DD53EA" w:rsidRDefault="00DD53EA" w:rsidP="00B1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EA" w:rsidRDefault="00DD53EA" w:rsidP="00B12177">
      <w:pPr>
        <w:spacing w:after="0" w:line="240" w:lineRule="auto"/>
      </w:pPr>
      <w:r>
        <w:separator/>
      </w:r>
    </w:p>
  </w:footnote>
  <w:footnote w:type="continuationSeparator" w:id="0">
    <w:p w:rsidR="00DD53EA" w:rsidRDefault="00DD53EA" w:rsidP="00B12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E4" w:rsidRDefault="00D54DE4">
    <w:pPr>
      <w:pStyle w:val="Header"/>
      <w:jc w:val="right"/>
    </w:pPr>
  </w:p>
  <w:sdt>
    <w:sdtPr>
      <w:id w:val="660510714"/>
      <w:docPartObj>
        <w:docPartGallery w:val="Page Numbers (Top of Page)"/>
        <w:docPartUnique/>
      </w:docPartObj>
    </w:sdtPr>
    <w:sdtEndPr/>
    <w:sdtContent>
      <w:p w:rsidR="00D54DE4" w:rsidRPr="00C3679C" w:rsidRDefault="00DE1810" w:rsidP="00F74554">
        <w:pPr>
          <w:pStyle w:val="Header"/>
          <w:jc w:val="right"/>
          <w:rPr>
            <w:rStyle w:val="Heading1Char"/>
            <w:color w:val="auto"/>
          </w:rPr>
        </w:pPr>
        <w:r>
          <w:rPr>
            <w:rStyle w:val="Heading1Char"/>
            <w:color w:val="auto"/>
          </w:rPr>
          <w:t>Temporary Hiring Procedure</w:t>
        </w:r>
      </w:p>
      <w:p w:rsidR="00D54DE4" w:rsidRDefault="00D54DE4">
        <w:pPr>
          <w:pStyle w:val="Header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1C0F47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1C0F47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D54DE4" w:rsidRDefault="00D5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C42"/>
    <w:multiLevelType w:val="hybridMultilevel"/>
    <w:tmpl w:val="97F87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7D53"/>
    <w:multiLevelType w:val="hybridMultilevel"/>
    <w:tmpl w:val="5562E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65135"/>
    <w:multiLevelType w:val="hybridMultilevel"/>
    <w:tmpl w:val="2FFC573E"/>
    <w:lvl w:ilvl="0" w:tplc="5CBE8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2609"/>
    <w:multiLevelType w:val="hybridMultilevel"/>
    <w:tmpl w:val="1B24A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720E2"/>
    <w:multiLevelType w:val="hybridMultilevel"/>
    <w:tmpl w:val="74323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3D6B"/>
    <w:multiLevelType w:val="hybridMultilevel"/>
    <w:tmpl w:val="E82A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4F94"/>
    <w:multiLevelType w:val="hybridMultilevel"/>
    <w:tmpl w:val="69DA6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56174"/>
    <w:multiLevelType w:val="hybridMultilevel"/>
    <w:tmpl w:val="5D424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62C6C"/>
    <w:multiLevelType w:val="hybridMultilevel"/>
    <w:tmpl w:val="1E10CAB4"/>
    <w:lvl w:ilvl="0" w:tplc="9E407C90">
      <w:start w:val="1"/>
      <w:numFmt w:val="decimal"/>
      <w:lvlText w:val="%1."/>
      <w:lvlJc w:val="left"/>
      <w:pPr>
        <w:ind w:left="77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F587623"/>
    <w:multiLevelType w:val="hybridMultilevel"/>
    <w:tmpl w:val="ED44D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51816"/>
    <w:multiLevelType w:val="hybridMultilevel"/>
    <w:tmpl w:val="CD92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77"/>
    <w:rsid w:val="000377DE"/>
    <w:rsid w:val="000945E6"/>
    <w:rsid w:val="000A1C94"/>
    <w:rsid w:val="000E05EC"/>
    <w:rsid w:val="000E4F7D"/>
    <w:rsid w:val="001235E4"/>
    <w:rsid w:val="0014058A"/>
    <w:rsid w:val="001569A1"/>
    <w:rsid w:val="001621B9"/>
    <w:rsid w:val="001A4599"/>
    <w:rsid w:val="001B0A91"/>
    <w:rsid w:val="001C0F47"/>
    <w:rsid w:val="001C3E40"/>
    <w:rsid w:val="001D1528"/>
    <w:rsid w:val="00205815"/>
    <w:rsid w:val="00211C7D"/>
    <w:rsid w:val="00227EB6"/>
    <w:rsid w:val="00241CFE"/>
    <w:rsid w:val="00245C83"/>
    <w:rsid w:val="00331BEA"/>
    <w:rsid w:val="003C1540"/>
    <w:rsid w:val="003C17BB"/>
    <w:rsid w:val="003D1511"/>
    <w:rsid w:val="00400F77"/>
    <w:rsid w:val="00413D9D"/>
    <w:rsid w:val="004330C1"/>
    <w:rsid w:val="004575B9"/>
    <w:rsid w:val="0046098B"/>
    <w:rsid w:val="00493A22"/>
    <w:rsid w:val="004976B3"/>
    <w:rsid w:val="004F122E"/>
    <w:rsid w:val="00511446"/>
    <w:rsid w:val="0051722B"/>
    <w:rsid w:val="00531320"/>
    <w:rsid w:val="005D65D0"/>
    <w:rsid w:val="005E61B2"/>
    <w:rsid w:val="00631A4F"/>
    <w:rsid w:val="006721B7"/>
    <w:rsid w:val="006774F6"/>
    <w:rsid w:val="0068190E"/>
    <w:rsid w:val="006C6F94"/>
    <w:rsid w:val="006D2817"/>
    <w:rsid w:val="00740336"/>
    <w:rsid w:val="00744659"/>
    <w:rsid w:val="00745E8A"/>
    <w:rsid w:val="007D4021"/>
    <w:rsid w:val="007E28A7"/>
    <w:rsid w:val="007F0FFB"/>
    <w:rsid w:val="008638E5"/>
    <w:rsid w:val="00866619"/>
    <w:rsid w:val="008E7CCA"/>
    <w:rsid w:val="00947868"/>
    <w:rsid w:val="0096662B"/>
    <w:rsid w:val="009B4715"/>
    <w:rsid w:val="009F707B"/>
    <w:rsid w:val="00A023E1"/>
    <w:rsid w:val="00A1799B"/>
    <w:rsid w:val="00A30AE6"/>
    <w:rsid w:val="00A50E0A"/>
    <w:rsid w:val="00A61E21"/>
    <w:rsid w:val="00A82312"/>
    <w:rsid w:val="00B12177"/>
    <w:rsid w:val="00C23F42"/>
    <w:rsid w:val="00C34BDA"/>
    <w:rsid w:val="00C3679C"/>
    <w:rsid w:val="00C45FFA"/>
    <w:rsid w:val="00C50AAA"/>
    <w:rsid w:val="00CA2161"/>
    <w:rsid w:val="00CB087A"/>
    <w:rsid w:val="00CB4A68"/>
    <w:rsid w:val="00CC0EA8"/>
    <w:rsid w:val="00CD52C1"/>
    <w:rsid w:val="00D16C9A"/>
    <w:rsid w:val="00D41A9D"/>
    <w:rsid w:val="00D52FCD"/>
    <w:rsid w:val="00D54DE4"/>
    <w:rsid w:val="00D57380"/>
    <w:rsid w:val="00D63CA9"/>
    <w:rsid w:val="00DD53EA"/>
    <w:rsid w:val="00DE1810"/>
    <w:rsid w:val="00E473FC"/>
    <w:rsid w:val="00E50177"/>
    <w:rsid w:val="00E74847"/>
    <w:rsid w:val="00EA63FD"/>
    <w:rsid w:val="00EE78E3"/>
    <w:rsid w:val="00F064BD"/>
    <w:rsid w:val="00F07D3D"/>
    <w:rsid w:val="00F14CB0"/>
    <w:rsid w:val="00F22B2A"/>
    <w:rsid w:val="00F36C82"/>
    <w:rsid w:val="00F63F38"/>
    <w:rsid w:val="00F74554"/>
    <w:rsid w:val="00FA120C"/>
    <w:rsid w:val="00FE2653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8538C"/>
  <w15:docId w15:val="{86714848-2558-4E05-8A88-FCA59A75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77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77"/>
  </w:style>
  <w:style w:type="paragraph" w:styleId="BodyText">
    <w:name w:val="Body Text"/>
    <w:basedOn w:val="Normal"/>
    <w:link w:val="BodyTextChar"/>
    <w:rsid w:val="00B12177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12177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12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77"/>
  </w:style>
  <w:style w:type="character" w:customStyle="1" w:styleId="Heading1Char">
    <w:name w:val="Heading 1 Char"/>
    <w:basedOn w:val="DefaultParagraphFont"/>
    <w:link w:val="Heading1"/>
    <w:uiPriority w:val="9"/>
    <w:rsid w:val="00B12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E2653"/>
    <w:pPr>
      <w:ind w:left="720"/>
      <w:contextualSpacing/>
    </w:pPr>
  </w:style>
  <w:style w:type="paragraph" w:customStyle="1" w:styleId="Level1">
    <w:name w:val="Level 1"/>
    <w:rsid w:val="00FE2653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0E05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3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rmingdale.edu/administration/administration-finance/human-resources/pdf/temporary_staffing_form_201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rmingdale.edu/administration/administration-finance/human-resources/pdf/part_time_recruiting_and_hiring_final_9_9_16_revised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rmingdale.edu/administration/administration-finance/human-resources/pdf/search_procedure_manual_revised_0909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Montemarano</dc:creator>
  <cp:lastModifiedBy>David Hecht</cp:lastModifiedBy>
  <cp:revision>2</cp:revision>
  <cp:lastPrinted>2014-07-16T15:10:00Z</cp:lastPrinted>
  <dcterms:created xsi:type="dcterms:W3CDTF">2018-05-24T16:54:00Z</dcterms:created>
  <dcterms:modified xsi:type="dcterms:W3CDTF">2018-05-24T16:54:00Z</dcterms:modified>
</cp:coreProperties>
</file>