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C91" w:rsidRPr="00771C91" w:rsidRDefault="00771C91" w:rsidP="00771C91">
      <w:pPr>
        <w:jc w:val="right"/>
        <w:rPr>
          <w:rFonts w:ascii="Arial" w:hAnsi="Arial" w:cs="Arial"/>
          <w:b/>
          <w:bCs/>
          <w:sz w:val="28"/>
          <w:szCs w:val="2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p>
    <w:tbl>
      <w:tblPr>
        <w:tblStyle w:val="TableGrid"/>
        <w:tblW w:w="0" w:type="auto"/>
        <w:tblLook w:val="04A0" w:firstRow="1" w:lastRow="0" w:firstColumn="1" w:lastColumn="0" w:noHBand="0" w:noVBand="1"/>
      </w:tblPr>
      <w:tblGrid>
        <w:gridCol w:w="2709"/>
        <w:gridCol w:w="8019"/>
      </w:tblGrid>
      <w:tr w:rsidR="00771C91" w:rsidTr="00771C91">
        <w:trPr>
          <w:trHeight w:val="398"/>
        </w:trPr>
        <w:tc>
          <w:tcPr>
            <w:tcW w:w="2709" w:type="dxa"/>
            <w:vMerge w:val="restart"/>
            <w:vAlign w:val="center"/>
          </w:tcPr>
          <w:p w:rsidR="00771C91" w:rsidRDefault="00771C91" w:rsidP="00771C91">
            <w:pPr>
              <w:jc w:val="center"/>
              <w:rPr>
                <w:rFonts w:ascii="Arial" w:hAnsi="Arial" w:cs="Arial"/>
                <w:b/>
                <w:bCs/>
                <w:sz w:val="18"/>
                <w:szCs w:val="18"/>
              </w:rPr>
            </w:pPr>
            <w:r w:rsidRPr="00771C91">
              <w:rPr>
                <w:rFonts w:ascii="Arial" w:hAnsi="Arial" w:cs="Arial"/>
                <w:b/>
                <w:bCs/>
                <w:noProof/>
                <w:sz w:val="18"/>
                <w:szCs w:val="18"/>
              </w:rPr>
              <w:drawing>
                <wp:inline distT="0" distB="0" distL="0" distR="0">
                  <wp:extent cx="1371600" cy="457200"/>
                  <wp:effectExtent l="19050" t="0" r="0" b="0"/>
                  <wp:docPr id="4" name="Picture 2" descr="logo-1c-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c-small"/>
                          <pic:cNvPicPr>
                            <a:picLocks noChangeAspect="1" noChangeArrowheads="1"/>
                          </pic:cNvPicPr>
                        </pic:nvPicPr>
                        <pic:blipFill>
                          <a:blip r:embed="rId7" cstate="print"/>
                          <a:srcRect/>
                          <a:stretch>
                            <a:fillRect/>
                          </a:stretch>
                        </pic:blipFill>
                        <pic:spPr bwMode="auto">
                          <a:xfrm>
                            <a:off x="0" y="0"/>
                            <a:ext cx="1371600" cy="457200"/>
                          </a:xfrm>
                          <a:prstGeom prst="rect">
                            <a:avLst/>
                          </a:prstGeom>
                          <a:noFill/>
                          <a:ln w="9525">
                            <a:noFill/>
                            <a:miter lim="800000"/>
                            <a:headEnd/>
                            <a:tailEnd/>
                          </a:ln>
                        </pic:spPr>
                      </pic:pic>
                    </a:graphicData>
                  </a:graphic>
                </wp:inline>
              </w:drawing>
            </w:r>
          </w:p>
        </w:tc>
        <w:tc>
          <w:tcPr>
            <w:tcW w:w="8019" w:type="dxa"/>
          </w:tcPr>
          <w:p w:rsidR="00771C91" w:rsidRDefault="00771C91" w:rsidP="00771C91">
            <w:pPr>
              <w:jc w:val="both"/>
              <w:rPr>
                <w:rFonts w:ascii="Verdana" w:hAnsi="Verdana" w:cs="Arial"/>
                <w:bCs/>
              </w:rPr>
            </w:pPr>
            <w:r w:rsidRPr="00771C91">
              <w:rPr>
                <w:rFonts w:ascii="Verdana" w:hAnsi="Verdana" w:cs="Arial"/>
                <w:b/>
                <w:bCs/>
              </w:rPr>
              <w:t>Approved By:</w:t>
            </w:r>
            <w:r>
              <w:rPr>
                <w:rFonts w:ascii="Verdana" w:hAnsi="Verdana" w:cs="Arial"/>
                <w:bCs/>
              </w:rPr>
              <w:t xml:space="preserve">   Cabinet</w:t>
            </w:r>
          </w:p>
          <w:p w:rsidR="00771C91" w:rsidRPr="00771C91" w:rsidRDefault="00771C91" w:rsidP="00771C91">
            <w:pPr>
              <w:jc w:val="both"/>
              <w:rPr>
                <w:rFonts w:ascii="Verdana" w:hAnsi="Verdana" w:cs="Arial"/>
                <w:bCs/>
              </w:rPr>
            </w:pPr>
            <w:r w:rsidRPr="00771C91">
              <w:rPr>
                <w:rFonts w:ascii="Verdana" w:hAnsi="Verdana" w:cs="Arial"/>
                <w:b/>
                <w:bCs/>
              </w:rPr>
              <w:t>Effective Date:</w:t>
            </w:r>
            <w:r>
              <w:rPr>
                <w:rFonts w:ascii="Verdana" w:hAnsi="Verdana" w:cs="Arial"/>
                <w:bCs/>
              </w:rPr>
              <w:t xml:space="preserve"> April 15, 2013</w:t>
            </w:r>
          </w:p>
        </w:tc>
      </w:tr>
      <w:tr w:rsidR="00771C91" w:rsidTr="00771C91">
        <w:trPr>
          <w:trHeight w:val="397"/>
        </w:trPr>
        <w:tc>
          <w:tcPr>
            <w:tcW w:w="2709" w:type="dxa"/>
            <w:vMerge/>
          </w:tcPr>
          <w:p w:rsidR="00771C91" w:rsidRPr="00771C91" w:rsidRDefault="00771C91">
            <w:pPr>
              <w:rPr>
                <w:rFonts w:ascii="Arial" w:hAnsi="Arial" w:cs="Arial"/>
                <w:b/>
                <w:bCs/>
                <w:sz w:val="18"/>
                <w:szCs w:val="18"/>
              </w:rPr>
            </w:pPr>
          </w:p>
        </w:tc>
        <w:tc>
          <w:tcPr>
            <w:tcW w:w="8019" w:type="dxa"/>
          </w:tcPr>
          <w:p w:rsidR="00771C91" w:rsidRDefault="00771C91" w:rsidP="00771C91">
            <w:pPr>
              <w:jc w:val="both"/>
              <w:rPr>
                <w:rFonts w:ascii="Verdana" w:hAnsi="Verdana" w:cs="Arial"/>
                <w:bCs/>
              </w:rPr>
            </w:pPr>
            <w:r w:rsidRPr="00771C91">
              <w:rPr>
                <w:rFonts w:ascii="Verdana" w:hAnsi="Verdana" w:cs="Arial"/>
                <w:b/>
                <w:bCs/>
              </w:rPr>
              <w:t>Category:</w:t>
            </w:r>
            <w:r>
              <w:rPr>
                <w:rFonts w:ascii="Verdana" w:hAnsi="Verdana" w:cs="Arial"/>
                <w:bCs/>
              </w:rPr>
              <w:t xml:space="preserve">         Human Resources</w:t>
            </w:r>
          </w:p>
          <w:p w:rsidR="00771C91" w:rsidRDefault="00771C91" w:rsidP="00771C91">
            <w:pPr>
              <w:jc w:val="both"/>
              <w:rPr>
                <w:rFonts w:ascii="Verdana" w:hAnsi="Verdana" w:cs="Arial"/>
                <w:bCs/>
              </w:rPr>
            </w:pPr>
            <w:r w:rsidRPr="00771C91">
              <w:rPr>
                <w:rFonts w:ascii="Verdana" w:hAnsi="Verdana" w:cs="Arial"/>
                <w:b/>
                <w:bCs/>
              </w:rPr>
              <w:t>Contact:</w:t>
            </w:r>
            <w:r>
              <w:rPr>
                <w:rFonts w:ascii="Verdana" w:hAnsi="Verdana" w:cs="Arial"/>
                <w:bCs/>
              </w:rPr>
              <w:t xml:space="preserve">           Director of Human Resources </w:t>
            </w:r>
          </w:p>
          <w:p w:rsidR="00771C91" w:rsidRPr="00771C91" w:rsidRDefault="00771C91" w:rsidP="00771C91">
            <w:pPr>
              <w:jc w:val="both"/>
              <w:rPr>
                <w:rFonts w:ascii="Verdana" w:hAnsi="Verdana" w:cs="Arial"/>
                <w:bCs/>
              </w:rPr>
            </w:pPr>
            <w:r>
              <w:rPr>
                <w:rFonts w:ascii="Verdana" w:hAnsi="Verdana" w:cs="Arial"/>
                <w:bCs/>
              </w:rPr>
              <w:t xml:space="preserve">                         631-420-2107</w:t>
            </w:r>
          </w:p>
        </w:tc>
      </w:tr>
    </w:tbl>
    <w:p w:rsidR="00D600A5" w:rsidRDefault="00D600A5" w:rsidP="00D600A5">
      <w:pPr>
        <w:spacing w:after="0" w:line="240" w:lineRule="auto"/>
        <w:rPr>
          <w:rFonts w:ascii="Arial" w:hAnsi="Arial" w:cs="Arial"/>
          <w:b/>
          <w:sz w:val="28"/>
          <w:szCs w:val="28"/>
        </w:rPr>
      </w:pPr>
    </w:p>
    <w:p w:rsidR="00D600A5" w:rsidRDefault="00D600A5" w:rsidP="00771C91">
      <w:pPr>
        <w:pBdr>
          <w:top w:val="thickThinLargeGap" w:sz="24" w:space="1" w:color="auto"/>
          <w:bottom w:val="thickThinLargeGap" w:sz="24" w:space="2" w:color="auto"/>
        </w:pBdr>
        <w:spacing w:after="0" w:line="240" w:lineRule="auto"/>
        <w:rPr>
          <w:rFonts w:ascii="Arial" w:hAnsi="Arial" w:cs="Arial"/>
          <w:b/>
          <w:sz w:val="28"/>
          <w:szCs w:val="28"/>
        </w:rPr>
      </w:pPr>
      <w:r>
        <w:rPr>
          <w:rFonts w:ascii="Arial" w:hAnsi="Arial" w:cs="Arial"/>
          <w:b/>
          <w:sz w:val="28"/>
          <w:szCs w:val="28"/>
        </w:rPr>
        <w:t>SUMMARY</w:t>
      </w:r>
    </w:p>
    <w:p w:rsidR="00D600A5" w:rsidRPr="00077A25" w:rsidRDefault="00D600A5" w:rsidP="00D600A5">
      <w:pPr>
        <w:pStyle w:val="Default"/>
        <w:rPr>
          <w:sz w:val="16"/>
          <w:szCs w:val="16"/>
        </w:rPr>
      </w:pPr>
    </w:p>
    <w:p w:rsidR="00D600A5" w:rsidRPr="00131A3D" w:rsidRDefault="00D600A5" w:rsidP="00D600A5">
      <w:pPr>
        <w:pStyle w:val="Default"/>
        <w:rPr>
          <w:rFonts w:ascii="Verdana" w:hAnsi="Verdana"/>
          <w:sz w:val="23"/>
          <w:szCs w:val="23"/>
        </w:rPr>
      </w:pPr>
      <w:r w:rsidRPr="00131A3D">
        <w:rPr>
          <w:rFonts w:ascii="Verdana" w:hAnsi="Verdana"/>
          <w:sz w:val="23"/>
          <w:szCs w:val="23"/>
        </w:rPr>
        <w:t xml:space="preserve">College funds may be used to reimburse certain expenses incurred by new appointees when transporting themselves, their families, and household goods and personal effects to their new place of residence.  This policy applies to State appointments. </w:t>
      </w:r>
    </w:p>
    <w:p w:rsidR="00D600A5" w:rsidRDefault="00D600A5" w:rsidP="00D600A5">
      <w:pPr>
        <w:pStyle w:val="Default"/>
        <w:rPr>
          <w:sz w:val="23"/>
          <w:szCs w:val="23"/>
        </w:rPr>
      </w:pPr>
    </w:p>
    <w:p w:rsidR="00D600A5" w:rsidRDefault="00D600A5" w:rsidP="00D600A5">
      <w:pPr>
        <w:pBdr>
          <w:top w:val="thickThinLargeGap" w:sz="24" w:space="1" w:color="auto"/>
          <w:bottom w:val="thickThinLargeGap" w:sz="24" w:space="1" w:color="auto"/>
        </w:pBdr>
        <w:spacing w:after="0" w:line="240" w:lineRule="auto"/>
        <w:rPr>
          <w:rFonts w:ascii="Arial" w:hAnsi="Arial" w:cs="Arial"/>
          <w:b/>
          <w:sz w:val="28"/>
          <w:szCs w:val="28"/>
        </w:rPr>
      </w:pPr>
      <w:r>
        <w:rPr>
          <w:rFonts w:ascii="Arial" w:hAnsi="Arial" w:cs="Arial"/>
          <w:b/>
          <w:sz w:val="28"/>
          <w:szCs w:val="28"/>
        </w:rPr>
        <w:t>POLICY</w:t>
      </w:r>
    </w:p>
    <w:p w:rsidR="00D600A5" w:rsidRDefault="00D600A5" w:rsidP="00D600A5">
      <w:pPr>
        <w:pStyle w:val="Default"/>
        <w:rPr>
          <w:b/>
          <w:bCs/>
          <w:sz w:val="23"/>
          <w:szCs w:val="23"/>
        </w:rPr>
      </w:pPr>
    </w:p>
    <w:p w:rsidR="00D600A5" w:rsidRDefault="00D600A5" w:rsidP="00D600A5">
      <w:pPr>
        <w:pStyle w:val="Default"/>
        <w:rPr>
          <w:b/>
          <w:bCs/>
          <w:sz w:val="23"/>
          <w:szCs w:val="23"/>
        </w:rPr>
      </w:pPr>
      <w:r>
        <w:rPr>
          <w:b/>
          <w:bCs/>
          <w:sz w:val="23"/>
          <w:szCs w:val="23"/>
        </w:rPr>
        <w:t xml:space="preserve">POLICY STATEMENT </w:t>
      </w:r>
    </w:p>
    <w:p w:rsidR="00D600A5" w:rsidRPr="00077A25" w:rsidRDefault="00D600A5" w:rsidP="00D600A5">
      <w:pPr>
        <w:pStyle w:val="Default"/>
        <w:rPr>
          <w:sz w:val="16"/>
          <w:szCs w:val="16"/>
        </w:rPr>
      </w:pPr>
    </w:p>
    <w:p w:rsidR="00D600A5" w:rsidRPr="00131A3D" w:rsidRDefault="00D600A5" w:rsidP="00D600A5">
      <w:pPr>
        <w:pStyle w:val="Default"/>
        <w:rPr>
          <w:rFonts w:ascii="Verdana" w:hAnsi="Verdana"/>
          <w:sz w:val="23"/>
          <w:szCs w:val="23"/>
        </w:rPr>
      </w:pPr>
      <w:r w:rsidRPr="00131A3D">
        <w:rPr>
          <w:rFonts w:ascii="Verdana" w:hAnsi="Verdana"/>
          <w:sz w:val="23"/>
          <w:szCs w:val="23"/>
        </w:rPr>
        <w:t xml:space="preserve">When an employing unit’s administration believes it is necessary to attract specific personnel, reimbursement of moving and related expenses </w:t>
      </w:r>
      <w:r w:rsidR="00131A3D" w:rsidRPr="00131A3D">
        <w:rPr>
          <w:rFonts w:ascii="Verdana" w:hAnsi="Verdana"/>
          <w:sz w:val="23"/>
          <w:szCs w:val="23"/>
        </w:rPr>
        <w:t xml:space="preserve">up to the amount of $3,000 </w:t>
      </w:r>
      <w:r w:rsidRPr="00131A3D">
        <w:rPr>
          <w:rFonts w:ascii="Verdana" w:hAnsi="Verdana"/>
          <w:sz w:val="23"/>
          <w:szCs w:val="23"/>
        </w:rPr>
        <w:t xml:space="preserve">may be authorized by the </w:t>
      </w:r>
      <w:r w:rsidR="00865CAE">
        <w:rPr>
          <w:rFonts w:ascii="Verdana" w:hAnsi="Verdana"/>
          <w:sz w:val="23"/>
          <w:szCs w:val="23"/>
        </w:rPr>
        <w:t>area Vice President</w:t>
      </w:r>
      <w:r w:rsidRPr="00131A3D">
        <w:rPr>
          <w:rFonts w:ascii="Verdana" w:hAnsi="Verdana"/>
          <w:sz w:val="23"/>
          <w:szCs w:val="23"/>
        </w:rPr>
        <w:t xml:space="preserve">.  </w:t>
      </w:r>
    </w:p>
    <w:p w:rsidR="00D600A5" w:rsidRPr="00077A25" w:rsidRDefault="00D600A5" w:rsidP="00D600A5">
      <w:pPr>
        <w:pStyle w:val="Default"/>
        <w:rPr>
          <w:rFonts w:ascii="Verdana" w:hAnsi="Verdana"/>
          <w:sz w:val="16"/>
          <w:szCs w:val="16"/>
        </w:rPr>
      </w:pPr>
    </w:p>
    <w:p w:rsidR="00D600A5" w:rsidRPr="00131A3D" w:rsidRDefault="00D600A5" w:rsidP="00D600A5">
      <w:pPr>
        <w:pStyle w:val="Default"/>
        <w:rPr>
          <w:rFonts w:ascii="Verdana" w:hAnsi="Verdana"/>
          <w:sz w:val="23"/>
          <w:szCs w:val="23"/>
        </w:rPr>
      </w:pPr>
      <w:r w:rsidRPr="00131A3D">
        <w:rPr>
          <w:rFonts w:ascii="Verdana" w:hAnsi="Verdana"/>
          <w:sz w:val="23"/>
          <w:szCs w:val="23"/>
        </w:rPr>
        <w:t xml:space="preserve">Reimbursement of moving and related expenses shall not be made to an eligible employee unless the employee agrees in writing to return the monies received for such expenses in the event the employee resigns or voluntarily separates from employment within one year of the initial appointment.  </w:t>
      </w:r>
    </w:p>
    <w:p w:rsidR="00077A25" w:rsidRDefault="00077A25" w:rsidP="00D600A5">
      <w:pPr>
        <w:pStyle w:val="Default"/>
        <w:rPr>
          <w:b/>
          <w:bCs/>
          <w:sz w:val="23"/>
          <w:szCs w:val="23"/>
        </w:rPr>
      </w:pPr>
    </w:p>
    <w:p w:rsidR="00D600A5" w:rsidRDefault="00D600A5" w:rsidP="00D600A5">
      <w:pPr>
        <w:pStyle w:val="Default"/>
        <w:rPr>
          <w:b/>
          <w:bCs/>
          <w:sz w:val="23"/>
          <w:szCs w:val="23"/>
        </w:rPr>
      </w:pPr>
      <w:r>
        <w:rPr>
          <w:b/>
          <w:bCs/>
          <w:sz w:val="23"/>
          <w:szCs w:val="23"/>
        </w:rPr>
        <w:t xml:space="preserve">IRS Implications  </w:t>
      </w:r>
    </w:p>
    <w:p w:rsidR="00D600A5" w:rsidRPr="00077A25" w:rsidRDefault="00D600A5" w:rsidP="00D600A5">
      <w:pPr>
        <w:pStyle w:val="Default"/>
        <w:rPr>
          <w:sz w:val="16"/>
          <w:szCs w:val="16"/>
        </w:rPr>
      </w:pPr>
    </w:p>
    <w:p w:rsidR="00D600A5" w:rsidRPr="00131A3D" w:rsidRDefault="00D600A5" w:rsidP="00D600A5">
      <w:pPr>
        <w:pStyle w:val="Default"/>
        <w:rPr>
          <w:rFonts w:ascii="Verdana" w:hAnsi="Verdana"/>
          <w:sz w:val="23"/>
          <w:szCs w:val="23"/>
        </w:rPr>
      </w:pPr>
      <w:r w:rsidRPr="00131A3D">
        <w:rPr>
          <w:rFonts w:ascii="Verdana" w:hAnsi="Verdana"/>
          <w:sz w:val="23"/>
          <w:szCs w:val="23"/>
        </w:rPr>
        <w:t xml:space="preserve">IRS </w:t>
      </w:r>
      <w:r w:rsidRPr="00131A3D">
        <w:rPr>
          <w:rFonts w:ascii="Verdana" w:hAnsi="Verdana"/>
          <w:i/>
          <w:iCs/>
          <w:sz w:val="23"/>
          <w:szCs w:val="23"/>
        </w:rPr>
        <w:t>Publication 521 Moving Expenses</w:t>
      </w:r>
      <w:r w:rsidRPr="00131A3D">
        <w:rPr>
          <w:rFonts w:ascii="Verdana" w:hAnsi="Verdana"/>
          <w:sz w:val="23"/>
          <w:szCs w:val="23"/>
        </w:rPr>
        <w:t xml:space="preserve"> explains the deduction of certain expenses of moving to a new home because of a change in job location or starting a new job.  Refer to </w:t>
      </w:r>
      <w:r w:rsidRPr="00131A3D">
        <w:rPr>
          <w:rFonts w:ascii="Verdana" w:hAnsi="Verdana"/>
          <w:i/>
          <w:iCs/>
          <w:sz w:val="23"/>
          <w:szCs w:val="23"/>
        </w:rPr>
        <w:t>Publication 521</w:t>
      </w:r>
      <w:r w:rsidRPr="00131A3D">
        <w:rPr>
          <w:rFonts w:ascii="Verdana" w:hAnsi="Verdana"/>
          <w:sz w:val="23"/>
          <w:szCs w:val="23"/>
        </w:rPr>
        <w:t xml:space="preserve"> for complete information regarding the proper tax treatment of moving and related expense</w:t>
      </w:r>
      <w:r w:rsidRPr="00131A3D">
        <w:rPr>
          <w:rFonts w:ascii="Verdana" w:hAnsi="Verdana"/>
          <w:b/>
          <w:bCs/>
          <w:sz w:val="23"/>
          <w:szCs w:val="23"/>
        </w:rPr>
        <w:t>.</w:t>
      </w:r>
      <w:r w:rsidRPr="00131A3D">
        <w:rPr>
          <w:rFonts w:ascii="Verdana" w:hAnsi="Verdana"/>
          <w:sz w:val="23"/>
          <w:szCs w:val="23"/>
        </w:rPr>
        <w:t xml:space="preserve">  </w:t>
      </w:r>
    </w:p>
    <w:p w:rsidR="00077A25" w:rsidRPr="00077A25" w:rsidRDefault="00077A25" w:rsidP="00D600A5">
      <w:pPr>
        <w:pStyle w:val="Default"/>
        <w:rPr>
          <w:b/>
          <w:bCs/>
          <w:sz w:val="16"/>
          <w:szCs w:val="16"/>
        </w:rPr>
      </w:pPr>
    </w:p>
    <w:p w:rsidR="00D600A5" w:rsidRDefault="00D600A5" w:rsidP="00D600A5">
      <w:pPr>
        <w:pStyle w:val="Default"/>
        <w:rPr>
          <w:b/>
          <w:bCs/>
          <w:sz w:val="23"/>
          <w:szCs w:val="23"/>
        </w:rPr>
      </w:pPr>
      <w:r>
        <w:rPr>
          <w:b/>
          <w:bCs/>
          <w:sz w:val="23"/>
          <w:szCs w:val="23"/>
        </w:rPr>
        <w:t xml:space="preserve">BACKGROUND </w:t>
      </w:r>
    </w:p>
    <w:p w:rsidR="00D600A5" w:rsidRPr="00077A25" w:rsidRDefault="00D600A5" w:rsidP="00D600A5">
      <w:pPr>
        <w:pStyle w:val="Default"/>
        <w:rPr>
          <w:sz w:val="16"/>
          <w:szCs w:val="16"/>
        </w:rPr>
      </w:pPr>
    </w:p>
    <w:p w:rsidR="00D600A5" w:rsidRPr="00131A3D" w:rsidRDefault="00D600A5" w:rsidP="00D600A5">
      <w:pPr>
        <w:pStyle w:val="Default"/>
        <w:rPr>
          <w:rFonts w:ascii="Verdana" w:hAnsi="Verdana"/>
          <w:sz w:val="23"/>
          <w:szCs w:val="23"/>
        </w:rPr>
      </w:pPr>
      <w:r w:rsidRPr="00131A3D">
        <w:rPr>
          <w:rFonts w:ascii="Verdana" w:hAnsi="Verdana"/>
          <w:sz w:val="23"/>
          <w:szCs w:val="23"/>
        </w:rPr>
        <w:t xml:space="preserve">Reimbursement of moving and related expenses is not mandatory.  It is a procedure established to assist in the recruitment of qualified candidates, and it is not expected that every appointee would be authorized payment of such expenses. </w:t>
      </w:r>
    </w:p>
    <w:p w:rsidR="00D600A5" w:rsidRPr="00077A25" w:rsidRDefault="00D600A5" w:rsidP="00D600A5">
      <w:pPr>
        <w:pStyle w:val="Default"/>
        <w:rPr>
          <w:sz w:val="16"/>
          <w:szCs w:val="16"/>
        </w:rPr>
      </w:pPr>
    </w:p>
    <w:p w:rsidR="00077A25" w:rsidRDefault="00D600A5" w:rsidP="00077A25">
      <w:pPr>
        <w:spacing w:after="0" w:line="240" w:lineRule="auto"/>
        <w:rPr>
          <w:rFonts w:ascii="Garamond" w:hAnsi="Garamond"/>
          <w:b/>
          <w:bCs/>
          <w:sz w:val="23"/>
          <w:szCs w:val="23"/>
        </w:rPr>
      </w:pPr>
      <w:r w:rsidRPr="00D600A5">
        <w:rPr>
          <w:rFonts w:ascii="Garamond" w:hAnsi="Garamond"/>
          <w:b/>
          <w:bCs/>
          <w:sz w:val="23"/>
          <w:szCs w:val="23"/>
        </w:rPr>
        <w:t>APPLICABILITY</w:t>
      </w:r>
    </w:p>
    <w:p w:rsidR="00077A25" w:rsidRPr="00077A25" w:rsidRDefault="00077A25" w:rsidP="00077A25">
      <w:pPr>
        <w:spacing w:after="0" w:line="240" w:lineRule="auto"/>
        <w:rPr>
          <w:rFonts w:ascii="Garamond" w:hAnsi="Garamond"/>
          <w:b/>
          <w:bCs/>
          <w:sz w:val="16"/>
          <w:szCs w:val="16"/>
        </w:rPr>
      </w:pPr>
    </w:p>
    <w:p w:rsidR="00D600A5" w:rsidRPr="00131A3D" w:rsidRDefault="00D600A5" w:rsidP="00077A25">
      <w:pPr>
        <w:spacing w:after="0" w:line="240" w:lineRule="auto"/>
        <w:rPr>
          <w:rFonts w:ascii="Verdana" w:hAnsi="Verdana"/>
          <w:sz w:val="23"/>
          <w:szCs w:val="23"/>
        </w:rPr>
      </w:pPr>
      <w:r w:rsidRPr="00131A3D">
        <w:rPr>
          <w:rFonts w:ascii="Verdana" w:hAnsi="Verdana"/>
          <w:sz w:val="23"/>
          <w:szCs w:val="23"/>
        </w:rPr>
        <w:t xml:space="preserve">This policy applies to State appointments. </w:t>
      </w:r>
    </w:p>
    <w:p w:rsidR="0091045B" w:rsidRPr="00077A25" w:rsidRDefault="0091045B" w:rsidP="00D600A5">
      <w:pPr>
        <w:pStyle w:val="Default"/>
        <w:rPr>
          <w:b/>
          <w:bCs/>
          <w:sz w:val="16"/>
          <w:szCs w:val="16"/>
        </w:rPr>
      </w:pPr>
    </w:p>
    <w:p w:rsidR="00D600A5" w:rsidRDefault="00D600A5" w:rsidP="00D600A5">
      <w:pPr>
        <w:pStyle w:val="Default"/>
        <w:rPr>
          <w:sz w:val="23"/>
          <w:szCs w:val="23"/>
        </w:rPr>
      </w:pPr>
      <w:r>
        <w:rPr>
          <w:b/>
          <w:bCs/>
          <w:sz w:val="23"/>
          <w:szCs w:val="23"/>
        </w:rPr>
        <w:t xml:space="preserve">DEFINITIONS </w:t>
      </w:r>
    </w:p>
    <w:p w:rsidR="0091045B" w:rsidRPr="00077A25" w:rsidRDefault="0091045B" w:rsidP="00D600A5">
      <w:pPr>
        <w:pStyle w:val="Default"/>
        <w:rPr>
          <w:b/>
          <w:bCs/>
          <w:sz w:val="16"/>
          <w:szCs w:val="16"/>
        </w:rPr>
      </w:pPr>
    </w:p>
    <w:p w:rsidR="00D600A5" w:rsidRPr="00131A3D" w:rsidRDefault="00D600A5" w:rsidP="00D600A5">
      <w:pPr>
        <w:pStyle w:val="Default"/>
        <w:rPr>
          <w:rFonts w:ascii="Verdana" w:hAnsi="Verdana"/>
          <w:b/>
          <w:bCs/>
          <w:sz w:val="23"/>
          <w:szCs w:val="23"/>
        </w:rPr>
      </w:pPr>
      <w:r w:rsidRPr="00131A3D">
        <w:rPr>
          <w:rFonts w:ascii="Verdana" w:hAnsi="Verdana"/>
          <w:b/>
          <w:bCs/>
          <w:sz w:val="23"/>
          <w:szCs w:val="23"/>
        </w:rPr>
        <w:t xml:space="preserve">Household goods and personal effects   </w:t>
      </w:r>
    </w:p>
    <w:p w:rsidR="00D600A5" w:rsidRDefault="00D600A5" w:rsidP="00D600A5">
      <w:pPr>
        <w:pStyle w:val="Default"/>
        <w:rPr>
          <w:sz w:val="23"/>
          <w:szCs w:val="23"/>
        </w:rPr>
      </w:pPr>
    </w:p>
    <w:p w:rsidR="00D600A5" w:rsidRDefault="00D600A5" w:rsidP="00D600A5">
      <w:pPr>
        <w:pStyle w:val="Default"/>
        <w:rPr>
          <w:rFonts w:ascii="Verdana" w:hAnsi="Verdana"/>
          <w:sz w:val="23"/>
          <w:szCs w:val="23"/>
        </w:rPr>
      </w:pPr>
      <w:r w:rsidRPr="00131A3D">
        <w:rPr>
          <w:rFonts w:ascii="Verdana" w:hAnsi="Verdana"/>
          <w:sz w:val="23"/>
          <w:szCs w:val="23"/>
        </w:rPr>
        <w:t>Household goods are all reasonable items of furniture, furnishing, clothing, appliances, tools, and equipment, including necessary expenditures for handling such items as pianos, refrigerators, and deep freezers.  For the purposes of moving expenses, the term personal effects includes, but is not limited to, movea</w:t>
      </w:r>
      <w:r w:rsidR="00131A3D">
        <w:rPr>
          <w:rFonts w:ascii="Verdana" w:hAnsi="Verdana"/>
          <w:sz w:val="23"/>
          <w:szCs w:val="23"/>
        </w:rPr>
        <w:t>ble personal property that the employee</w:t>
      </w:r>
      <w:r w:rsidRPr="00131A3D">
        <w:rPr>
          <w:rFonts w:ascii="Verdana" w:hAnsi="Verdana"/>
          <w:sz w:val="23"/>
          <w:szCs w:val="23"/>
        </w:rPr>
        <w:t xml:space="preserve"> owns and frequently uses</w:t>
      </w:r>
    </w:p>
    <w:p w:rsidR="00D600A5" w:rsidRPr="00131A3D" w:rsidRDefault="00D600A5">
      <w:pPr>
        <w:rPr>
          <w:rFonts w:ascii="Verdana" w:hAnsi="Verdana"/>
        </w:rPr>
      </w:pPr>
    </w:p>
    <w:tbl>
      <w:tblPr>
        <w:tblW w:w="10694" w:type="dxa"/>
        <w:tblBorders>
          <w:top w:val="nil"/>
          <w:left w:val="nil"/>
          <w:bottom w:val="nil"/>
          <w:right w:val="nil"/>
        </w:tblBorders>
        <w:tblLayout w:type="fixed"/>
        <w:tblLook w:val="0000" w:firstRow="0" w:lastRow="0" w:firstColumn="0" w:lastColumn="0" w:noHBand="0" w:noVBand="0"/>
      </w:tblPr>
      <w:tblGrid>
        <w:gridCol w:w="5508"/>
        <w:gridCol w:w="3150"/>
        <w:gridCol w:w="1800"/>
        <w:gridCol w:w="236"/>
      </w:tblGrid>
      <w:tr w:rsidR="0091045B" w:rsidTr="00131A3D">
        <w:trPr>
          <w:gridAfter w:val="2"/>
          <w:wAfter w:w="2036" w:type="dxa"/>
          <w:trHeight w:val="450"/>
        </w:trPr>
        <w:tc>
          <w:tcPr>
            <w:tcW w:w="8658" w:type="dxa"/>
            <w:gridSpan w:val="2"/>
          </w:tcPr>
          <w:p w:rsidR="0091045B" w:rsidRPr="004657B2" w:rsidRDefault="0091045B" w:rsidP="00847442">
            <w:pPr>
              <w:pStyle w:val="Default"/>
              <w:rPr>
                <w:sz w:val="28"/>
                <w:szCs w:val="28"/>
              </w:rPr>
            </w:pPr>
            <w:r w:rsidRPr="004657B2">
              <w:rPr>
                <w:b/>
                <w:bCs/>
                <w:sz w:val="28"/>
                <w:szCs w:val="28"/>
              </w:rPr>
              <w:t xml:space="preserve">ELIGIBILITY CRITERIA </w:t>
            </w:r>
          </w:p>
        </w:tc>
      </w:tr>
      <w:tr w:rsidR="0091045B" w:rsidTr="00131A3D">
        <w:trPr>
          <w:trHeight w:val="324"/>
        </w:trPr>
        <w:tc>
          <w:tcPr>
            <w:tcW w:w="10458" w:type="dxa"/>
            <w:gridSpan w:val="3"/>
            <w:tcBorders>
              <w:bottom w:val="single" w:sz="12" w:space="0" w:color="auto"/>
            </w:tcBorders>
          </w:tcPr>
          <w:p w:rsidR="0091045B" w:rsidRPr="00771C91" w:rsidRDefault="0091045B" w:rsidP="00847442">
            <w:pPr>
              <w:pStyle w:val="Default"/>
              <w:rPr>
                <w:rFonts w:ascii="Verdana" w:hAnsi="Verdana"/>
                <w:i/>
                <w:iCs/>
              </w:rPr>
            </w:pPr>
            <w:r w:rsidRPr="00771C91">
              <w:rPr>
                <w:rFonts w:ascii="Verdana" w:hAnsi="Verdana"/>
              </w:rPr>
              <w:t xml:space="preserve">Must meet the distance test as outlined in IRS </w:t>
            </w:r>
            <w:r w:rsidRPr="00771C91">
              <w:rPr>
                <w:rFonts w:ascii="Verdana" w:hAnsi="Verdana"/>
                <w:i/>
                <w:iCs/>
              </w:rPr>
              <w:t>Publication 521 Moving Expenses</w:t>
            </w:r>
          </w:p>
          <w:p w:rsidR="0091045B" w:rsidRPr="00771C91" w:rsidRDefault="0091045B" w:rsidP="00847442">
            <w:pPr>
              <w:pStyle w:val="Default"/>
              <w:rPr>
                <w:rFonts w:ascii="Verdana" w:hAnsi="Verdana"/>
              </w:rPr>
            </w:pPr>
            <w:r w:rsidRPr="00771C91">
              <w:rPr>
                <w:rFonts w:ascii="Verdana" w:hAnsi="Verdana"/>
              </w:rPr>
              <w:t>Full time appointment required</w:t>
            </w:r>
          </w:p>
          <w:p w:rsidR="0091045B" w:rsidRPr="00771C91" w:rsidRDefault="0091045B" w:rsidP="00847442">
            <w:pPr>
              <w:pStyle w:val="Default"/>
              <w:rPr>
                <w:rFonts w:ascii="Verdana" w:hAnsi="Verdana"/>
              </w:rPr>
            </w:pPr>
            <w:r w:rsidRPr="00771C91">
              <w:rPr>
                <w:rFonts w:ascii="Verdana" w:hAnsi="Verdana"/>
              </w:rPr>
              <w:t xml:space="preserve">Professional/faculty appointment required  </w:t>
            </w:r>
          </w:p>
          <w:p w:rsidR="0091045B" w:rsidRDefault="0091045B" w:rsidP="00847442">
            <w:pPr>
              <w:pStyle w:val="Default"/>
              <w:rPr>
                <w:sz w:val="23"/>
                <w:szCs w:val="23"/>
              </w:rPr>
            </w:pPr>
          </w:p>
        </w:tc>
        <w:tc>
          <w:tcPr>
            <w:tcW w:w="236" w:type="dxa"/>
          </w:tcPr>
          <w:p w:rsidR="0091045B" w:rsidRDefault="0091045B" w:rsidP="00847442">
            <w:pPr>
              <w:pStyle w:val="Default"/>
              <w:rPr>
                <w:sz w:val="23"/>
                <w:szCs w:val="23"/>
              </w:rPr>
            </w:pPr>
          </w:p>
        </w:tc>
      </w:tr>
      <w:tr w:rsidR="0091045B" w:rsidTr="00131A3D">
        <w:trPr>
          <w:gridAfter w:val="1"/>
          <w:wAfter w:w="236" w:type="dxa"/>
          <w:trHeight w:val="295"/>
        </w:trPr>
        <w:tc>
          <w:tcPr>
            <w:tcW w:w="5508" w:type="dxa"/>
            <w:tcBorders>
              <w:top w:val="single" w:sz="12" w:space="0" w:color="auto"/>
              <w:left w:val="single" w:sz="12" w:space="0" w:color="auto"/>
              <w:bottom w:val="single" w:sz="12" w:space="0" w:color="auto"/>
              <w:right w:val="single" w:sz="12" w:space="0" w:color="auto"/>
            </w:tcBorders>
          </w:tcPr>
          <w:p w:rsidR="0091045B" w:rsidRPr="004657B2" w:rsidRDefault="0091045B" w:rsidP="00847442">
            <w:pPr>
              <w:pStyle w:val="Default"/>
            </w:pPr>
            <w:r w:rsidRPr="004657B2">
              <w:rPr>
                <w:b/>
                <w:bCs/>
              </w:rPr>
              <w:t xml:space="preserve">Expense </w:t>
            </w:r>
          </w:p>
        </w:tc>
        <w:tc>
          <w:tcPr>
            <w:tcW w:w="4950" w:type="dxa"/>
            <w:gridSpan w:val="2"/>
            <w:tcBorders>
              <w:top w:val="single" w:sz="12" w:space="0" w:color="auto"/>
              <w:left w:val="single" w:sz="12" w:space="0" w:color="auto"/>
              <w:bottom w:val="single" w:sz="12" w:space="0" w:color="auto"/>
              <w:right w:val="single" w:sz="12" w:space="0" w:color="auto"/>
            </w:tcBorders>
          </w:tcPr>
          <w:p w:rsidR="0091045B" w:rsidRPr="004657B2" w:rsidRDefault="0091045B" w:rsidP="0091045B">
            <w:pPr>
              <w:pStyle w:val="Default"/>
            </w:pPr>
            <w:r>
              <w:rPr>
                <w:b/>
                <w:bCs/>
              </w:rPr>
              <w:t xml:space="preserve">Qualifies for </w:t>
            </w:r>
            <w:r w:rsidRPr="004657B2">
              <w:rPr>
                <w:b/>
                <w:bCs/>
              </w:rPr>
              <w:t>Reimburs</w:t>
            </w:r>
            <w:r>
              <w:rPr>
                <w:b/>
                <w:bCs/>
              </w:rPr>
              <w:t>ement</w:t>
            </w:r>
            <w:r w:rsidRPr="004657B2">
              <w:rPr>
                <w:b/>
                <w:bCs/>
              </w:rPr>
              <w:t xml:space="preserve">  </w:t>
            </w:r>
          </w:p>
        </w:tc>
      </w:tr>
      <w:tr w:rsidR="0091045B" w:rsidRPr="00771C91" w:rsidTr="00131A3D">
        <w:trPr>
          <w:gridAfter w:val="1"/>
          <w:wAfter w:w="236" w:type="dxa"/>
          <w:trHeight w:val="1560"/>
        </w:trPr>
        <w:tc>
          <w:tcPr>
            <w:tcW w:w="5508" w:type="dxa"/>
            <w:tcBorders>
              <w:top w:val="single" w:sz="12" w:space="0" w:color="auto"/>
              <w:left w:val="single" w:sz="12" w:space="0" w:color="auto"/>
              <w:bottom w:val="single" w:sz="12" w:space="0" w:color="auto"/>
              <w:right w:val="single" w:sz="12" w:space="0" w:color="auto"/>
            </w:tcBorders>
          </w:tcPr>
          <w:p w:rsidR="0091045B" w:rsidRPr="00771C91" w:rsidRDefault="0091045B" w:rsidP="00847442">
            <w:pPr>
              <w:pStyle w:val="Default"/>
              <w:rPr>
                <w:rFonts w:ascii="Verdana" w:hAnsi="Verdana"/>
                <w:sz w:val="22"/>
                <w:szCs w:val="22"/>
              </w:rPr>
            </w:pPr>
            <w:r w:rsidRPr="00771C91">
              <w:rPr>
                <w:rFonts w:ascii="Verdana" w:hAnsi="Verdana"/>
                <w:sz w:val="22"/>
                <w:szCs w:val="22"/>
              </w:rPr>
              <w:t>Basic cost of moving household goods and personal effects up to 12,000 pounds, including pianos, refrigerators, and deep freezers</w:t>
            </w:r>
          </w:p>
        </w:tc>
        <w:tc>
          <w:tcPr>
            <w:tcW w:w="4950" w:type="dxa"/>
            <w:gridSpan w:val="2"/>
            <w:tcBorders>
              <w:top w:val="single" w:sz="12" w:space="0" w:color="auto"/>
              <w:left w:val="single" w:sz="12" w:space="0" w:color="auto"/>
              <w:bottom w:val="single" w:sz="12" w:space="0" w:color="auto"/>
              <w:right w:val="single" w:sz="12" w:space="0" w:color="auto"/>
            </w:tcBorders>
          </w:tcPr>
          <w:p w:rsidR="0091045B" w:rsidRPr="00771C91" w:rsidRDefault="0091045B" w:rsidP="00847442">
            <w:pPr>
              <w:pStyle w:val="Default"/>
              <w:rPr>
                <w:rFonts w:ascii="Verdana" w:hAnsi="Verdana"/>
                <w:sz w:val="22"/>
                <w:szCs w:val="22"/>
              </w:rPr>
            </w:pPr>
            <w:r w:rsidRPr="00771C91">
              <w:rPr>
                <w:rFonts w:ascii="Verdana" w:hAnsi="Verdana"/>
                <w:sz w:val="22"/>
                <w:szCs w:val="22"/>
              </w:rPr>
              <w:t>Yes - Must use a carrier authorized by the US Department of Transportation or trailers/trucks rented from commercial establishments.  If neither commercial mover nor rental truck is used, documented moving expenses up to $200 are reimbursable</w:t>
            </w:r>
          </w:p>
        </w:tc>
      </w:tr>
      <w:tr w:rsidR="0091045B" w:rsidRPr="00771C91" w:rsidTr="00131A3D">
        <w:trPr>
          <w:gridAfter w:val="1"/>
          <w:wAfter w:w="236" w:type="dxa"/>
          <w:trHeight w:val="525"/>
        </w:trPr>
        <w:tc>
          <w:tcPr>
            <w:tcW w:w="5508" w:type="dxa"/>
            <w:tcBorders>
              <w:top w:val="single" w:sz="12" w:space="0" w:color="auto"/>
              <w:left w:val="single" w:sz="12" w:space="0" w:color="auto"/>
              <w:bottom w:val="single" w:sz="12" w:space="0" w:color="auto"/>
              <w:right w:val="single" w:sz="12" w:space="0" w:color="auto"/>
            </w:tcBorders>
          </w:tcPr>
          <w:p w:rsidR="0091045B" w:rsidRPr="00771C91" w:rsidRDefault="0091045B" w:rsidP="00847442">
            <w:pPr>
              <w:pStyle w:val="Default"/>
              <w:rPr>
                <w:rFonts w:ascii="Verdana" w:hAnsi="Verdana"/>
                <w:sz w:val="22"/>
                <w:szCs w:val="22"/>
              </w:rPr>
            </w:pPr>
            <w:r w:rsidRPr="00771C91">
              <w:rPr>
                <w:rFonts w:ascii="Verdana" w:hAnsi="Verdana"/>
                <w:sz w:val="22"/>
                <w:szCs w:val="22"/>
              </w:rPr>
              <w:t xml:space="preserve">Additional insurance above the lowest valuation rate charged </w:t>
            </w:r>
          </w:p>
        </w:tc>
        <w:tc>
          <w:tcPr>
            <w:tcW w:w="4950" w:type="dxa"/>
            <w:gridSpan w:val="2"/>
            <w:tcBorders>
              <w:top w:val="single" w:sz="12" w:space="0" w:color="auto"/>
              <w:left w:val="single" w:sz="12" w:space="0" w:color="auto"/>
              <w:bottom w:val="single" w:sz="12" w:space="0" w:color="auto"/>
              <w:right w:val="single" w:sz="12" w:space="0" w:color="auto"/>
            </w:tcBorders>
          </w:tcPr>
          <w:p w:rsidR="0091045B" w:rsidRPr="00771C91" w:rsidRDefault="0091045B" w:rsidP="00847442">
            <w:pPr>
              <w:pStyle w:val="Default"/>
              <w:rPr>
                <w:rFonts w:ascii="Verdana" w:hAnsi="Verdana"/>
                <w:sz w:val="22"/>
                <w:szCs w:val="22"/>
              </w:rPr>
            </w:pPr>
            <w:r w:rsidRPr="00771C91">
              <w:rPr>
                <w:rFonts w:ascii="Verdana" w:hAnsi="Verdana"/>
                <w:sz w:val="22"/>
                <w:szCs w:val="22"/>
              </w:rPr>
              <w:t xml:space="preserve">Yes </w:t>
            </w:r>
          </w:p>
        </w:tc>
      </w:tr>
      <w:tr w:rsidR="0091045B" w:rsidRPr="00771C91" w:rsidTr="00131A3D">
        <w:trPr>
          <w:gridAfter w:val="1"/>
          <w:wAfter w:w="236" w:type="dxa"/>
          <w:trHeight w:val="521"/>
        </w:trPr>
        <w:tc>
          <w:tcPr>
            <w:tcW w:w="5508" w:type="dxa"/>
            <w:tcBorders>
              <w:top w:val="single" w:sz="12" w:space="0" w:color="auto"/>
              <w:left w:val="single" w:sz="12" w:space="0" w:color="auto"/>
              <w:bottom w:val="single" w:sz="12" w:space="0" w:color="auto"/>
              <w:right w:val="single" w:sz="12" w:space="0" w:color="auto"/>
            </w:tcBorders>
          </w:tcPr>
          <w:p w:rsidR="0091045B" w:rsidRPr="00771C91" w:rsidRDefault="0091045B" w:rsidP="00847442">
            <w:pPr>
              <w:pStyle w:val="Default"/>
              <w:rPr>
                <w:rFonts w:ascii="Verdana" w:hAnsi="Verdana"/>
                <w:sz w:val="22"/>
                <w:szCs w:val="22"/>
              </w:rPr>
            </w:pPr>
            <w:r w:rsidRPr="00771C91">
              <w:rPr>
                <w:rFonts w:ascii="Verdana" w:hAnsi="Verdana"/>
                <w:sz w:val="22"/>
                <w:szCs w:val="22"/>
              </w:rPr>
              <w:t xml:space="preserve">Packing/unpacking household goods and personal effects </w:t>
            </w:r>
          </w:p>
        </w:tc>
        <w:tc>
          <w:tcPr>
            <w:tcW w:w="4950" w:type="dxa"/>
            <w:gridSpan w:val="2"/>
            <w:tcBorders>
              <w:top w:val="single" w:sz="12" w:space="0" w:color="auto"/>
              <w:left w:val="single" w:sz="12" w:space="0" w:color="auto"/>
              <w:bottom w:val="single" w:sz="12" w:space="0" w:color="auto"/>
              <w:right w:val="single" w:sz="12" w:space="0" w:color="auto"/>
            </w:tcBorders>
          </w:tcPr>
          <w:p w:rsidR="0091045B" w:rsidRPr="00771C91" w:rsidRDefault="0091045B" w:rsidP="00847442">
            <w:pPr>
              <w:pStyle w:val="Default"/>
              <w:rPr>
                <w:rFonts w:ascii="Verdana" w:hAnsi="Verdana"/>
                <w:sz w:val="22"/>
                <w:szCs w:val="22"/>
              </w:rPr>
            </w:pPr>
            <w:r w:rsidRPr="00771C91">
              <w:rPr>
                <w:rFonts w:ascii="Verdana" w:hAnsi="Verdana"/>
                <w:sz w:val="22"/>
                <w:szCs w:val="22"/>
              </w:rPr>
              <w:t xml:space="preserve">Yes </w:t>
            </w:r>
          </w:p>
        </w:tc>
      </w:tr>
      <w:tr w:rsidR="0091045B" w:rsidRPr="00771C91" w:rsidTr="00131A3D">
        <w:trPr>
          <w:gridAfter w:val="1"/>
          <w:wAfter w:w="236" w:type="dxa"/>
          <w:trHeight w:val="345"/>
        </w:trPr>
        <w:tc>
          <w:tcPr>
            <w:tcW w:w="5508" w:type="dxa"/>
            <w:tcBorders>
              <w:top w:val="single" w:sz="12" w:space="0" w:color="auto"/>
              <w:left w:val="single" w:sz="12" w:space="0" w:color="auto"/>
              <w:bottom w:val="single" w:sz="12" w:space="0" w:color="auto"/>
              <w:right w:val="single" w:sz="12" w:space="0" w:color="auto"/>
            </w:tcBorders>
          </w:tcPr>
          <w:p w:rsidR="0091045B" w:rsidRPr="00771C91" w:rsidRDefault="0091045B" w:rsidP="00847442">
            <w:pPr>
              <w:pStyle w:val="Default"/>
              <w:rPr>
                <w:rFonts w:ascii="Verdana" w:hAnsi="Verdana"/>
                <w:sz w:val="22"/>
                <w:szCs w:val="22"/>
              </w:rPr>
            </w:pPr>
            <w:r w:rsidRPr="00771C91">
              <w:rPr>
                <w:rFonts w:ascii="Verdana" w:hAnsi="Verdana"/>
                <w:sz w:val="22"/>
                <w:szCs w:val="22"/>
              </w:rPr>
              <w:t xml:space="preserve">Short duration (30 days) in-transit storage </w:t>
            </w:r>
          </w:p>
        </w:tc>
        <w:tc>
          <w:tcPr>
            <w:tcW w:w="4950" w:type="dxa"/>
            <w:gridSpan w:val="2"/>
            <w:tcBorders>
              <w:top w:val="single" w:sz="12" w:space="0" w:color="auto"/>
              <w:left w:val="single" w:sz="12" w:space="0" w:color="auto"/>
              <w:bottom w:val="single" w:sz="12" w:space="0" w:color="auto"/>
              <w:right w:val="single" w:sz="12" w:space="0" w:color="auto"/>
            </w:tcBorders>
          </w:tcPr>
          <w:p w:rsidR="0091045B" w:rsidRPr="00771C91" w:rsidRDefault="0091045B" w:rsidP="00847442">
            <w:pPr>
              <w:pStyle w:val="Default"/>
              <w:rPr>
                <w:rFonts w:ascii="Verdana" w:hAnsi="Verdana"/>
                <w:sz w:val="22"/>
                <w:szCs w:val="22"/>
              </w:rPr>
            </w:pPr>
            <w:r w:rsidRPr="00771C91">
              <w:rPr>
                <w:rFonts w:ascii="Verdana" w:hAnsi="Verdana"/>
                <w:sz w:val="22"/>
                <w:szCs w:val="22"/>
              </w:rPr>
              <w:t xml:space="preserve">Yes </w:t>
            </w:r>
          </w:p>
        </w:tc>
      </w:tr>
      <w:tr w:rsidR="0091045B" w:rsidRPr="00771C91" w:rsidTr="00131A3D">
        <w:trPr>
          <w:gridAfter w:val="1"/>
          <w:wAfter w:w="236" w:type="dxa"/>
          <w:trHeight w:val="885"/>
        </w:trPr>
        <w:tc>
          <w:tcPr>
            <w:tcW w:w="5508" w:type="dxa"/>
            <w:tcBorders>
              <w:top w:val="single" w:sz="12" w:space="0" w:color="auto"/>
              <w:left w:val="single" w:sz="12" w:space="0" w:color="auto"/>
              <w:bottom w:val="single" w:sz="12" w:space="0" w:color="auto"/>
              <w:right w:val="single" w:sz="12" w:space="0" w:color="auto"/>
            </w:tcBorders>
          </w:tcPr>
          <w:p w:rsidR="0091045B" w:rsidRPr="00771C91" w:rsidRDefault="0091045B" w:rsidP="00847442">
            <w:pPr>
              <w:pStyle w:val="Default"/>
              <w:rPr>
                <w:rFonts w:ascii="Verdana" w:hAnsi="Verdana"/>
                <w:sz w:val="22"/>
                <w:szCs w:val="22"/>
              </w:rPr>
            </w:pPr>
            <w:r w:rsidRPr="00771C91">
              <w:rPr>
                <w:rFonts w:ascii="Verdana" w:hAnsi="Verdana"/>
                <w:sz w:val="22"/>
                <w:szCs w:val="22"/>
              </w:rPr>
              <w:t xml:space="preserve">Mileage incurred to drive one personally-owned vehicle from the old to the new location </w:t>
            </w:r>
          </w:p>
        </w:tc>
        <w:tc>
          <w:tcPr>
            <w:tcW w:w="4950" w:type="dxa"/>
            <w:gridSpan w:val="2"/>
            <w:tcBorders>
              <w:top w:val="single" w:sz="12" w:space="0" w:color="auto"/>
              <w:left w:val="single" w:sz="12" w:space="0" w:color="auto"/>
              <w:bottom w:val="single" w:sz="12" w:space="0" w:color="auto"/>
              <w:right w:val="single" w:sz="12" w:space="0" w:color="auto"/>
            </w:tcBorders>
          </w:tcPr>
          <w:p w:rsidR="0091045B" w:rsidRPr="00771C91" w:rsidRDefault="0091045B" w:rsidP="00C85D0C">
            <w:pPr>
              <w:pStyle w:val="Default"/>
              <w:rPr>
                <w:rFonts w:ascii="Verdana" w:hAnsi="Verdana"/>
                <w:sz w:val="22"/>
                <w:szCs w:val="22"/>
              </w:rPr>
            </w:pPr>
            <w:r w:rsidRPr="00771C91">
              <w:rPr>
                <w:rFonts w:ascii="Verdana" w:hAnsi="Verdana"/>
                <w:sz w:val="22"/>
                <w:szCs w:val="22"/>
              </w:rPr>
              <w:t xml:space="preserve">Yes - Mileage is reimbursed at the rate paid by NYS </w:t>
            </w:r>
            <w:r w:rsidR="00C85D0C">
              <w:rPr>
                <w:rFonts w:ascii="Verdana" w:hAnsi="Verdana"/>
                <w:sz w:val="22"/>
                <w:szCs w:val="22"/>
              </w:rPr>
              <w:t>for moving purposes.</w:t>
            </w:r>
          </w:p>
        </w:tc>
      </w:tr>
      <w:tr w:rsidR="0091045B" w:rsidRPr="00771C91" w:rsidTr="00131A3D">
        <w:trPr>
          <w:gridAfter w:val="1"/>
          <w:wAfter w:w="236" w:type="dxa"/>
          <w:trHeight w:val="312"/>
        </w:trPr>
        <w:tc>
          <w:tcPr>
            <w:tcW w:w="5508" w:type="dxa"/>
            <w:tcBorders>
              <w:top w:val="single" w:sz="12" w:space="0" w:color="auto"/>
              <w:left w:val="single" w:sz="12" w:space="0" w:color="auto"/>
              <w:bottom w:val="single" w:sz="12" w:space="0" w:color="auto"/>
              <w:right w:val="single" w:sz="12" w:space="0" w:color="auto"/>
            </w:tcBorders>
          </w:tcPr>
          <w:p w:rsidR="0091045B" w:rsidRPr="00771C91" w:rsidRDefault="0091045B" w:rsidP="00847442">
            <w:pPr>
              <w:pStyle w:val="Default"/>
              <w:rPr>
                <w:rFonts w:ascii="Verdana" w:hAnsi="Verdana"/>
                <w:sz w:val="22"/>
                <w:szCs w:val="22"/>
              </w:rPr>
            </w:pPr>
            <w:r w:rsidRPr="00771C91">
              <w:rPr>
                <w:rFonts w:ascii="Verdana" w:hAnsi="Verdana"/>
                <w:sz w:val="22"/>
                <w:szCs w:val="22"/>
              </w:rPr>
              <w:t xml:space="preserve">Meals* and lodging  </w:t>
            </w:r>
          </w:p>
        </w:tc>
        <w:tc>
          <w:tcPr>
            <w:tcW w:w="4950" w:type="dxa"/>
            <w:gridSpan w:val="2"/>
            <w:tcBorders>
              <w:top w:val="single" w:sz="12" w:space="0" w:color="auto"/>
              <w:left w:val="single" w:sz="12" w:space="0" w:color="auto"/>
              <w:bottom w:val="single" w:sz="12" w:space="0" w:color="auto"/>
              <w:right w:val="single" w:sz="12" w:space="0" w:color="auto"/>
            </w:tcBorders>
          </w:tcPr>
          <w:p w:rsidR="0091045B" w:rsidRPr="00771C91" w:rsidRDefault="0091045B" w:rsidP="00847442">
            <w:pPr>
              <w:pStyle w:val="Default"/>
              <w:rPr>
                <w:rFonts w:ascii="Verdana" w:hAnsi="Verdana"/>
                <w:sz w:val="22"/>
                <w:szCs w:val="22"/>
              </w:rPr>
            </w:pPr>
            <w:r w:rsidRPr="00771C91">
              <w:rPr>
                <w:rFonts w:ascii="Verdana" w:hAnsi="Verdana"/>
                <w:sz w:val="22"/>
                <w:szCs w:val="22"/>
              </w:rPr>
              <w:t xml:space="preserve">No </w:t>
            </w:r>
          </w:p>
        </w:tc>
      </w:tr>
      <w:tr w:rsidR="0091045B" w:rsidRPr="00771C91" w:rsidTr="00131A3D">
        <w:trPr>
          <w:gridAfter w:val="1"/>
          <w:wAfter w:w="236" w:type="dxa"/>
          <w:trHeight w:val="822"/>
        </w:trPr>
        <w:tc>
          <w:tcPr>
            <w:tcW w:w="5508" w:type="dxa"/>
            <w:tcBorders>
              <w:top w:val="single" w:sz="12" w:space="0" w:color="auto"/>
              <w:left w:val="single" w:sz="12" w:space="0" w:color="auto"/>
              <w:bottom w:val="single" w:sz="12" w:space="0" w:color="auto"/>
              <w:right w:val="single" w:sz="12" w:space="0" w:color="auto"/>
            </w:tcBorders>
          </w:tcPr>
          <w:p w:rsidR="0091045B" w:rsidRPr="00771C91" w:rsidRDefault="0091045B" w:rsidP="00847442">
            <w:pPr>
              <w:pStyle w:val="Default"/>
              <w:rPr>
                <w:rFonts w:ascii="Verdana" w:hAnsi="Verdana"/>
                <w:sz w:val="22"/>
                <w:szCs w:val="22"/>
              </w:rPr>
            </w:pPr>
            <w:r w:rsidRPr="00771C91">
              <w:rPr>
                <w:rFonts w:ascii="Verdana" w:hAnsi="Verdana"/>
                <w:sz w:val="22"/>
                <w:szCs w:val="22"/>
              </w:rPr>
              <w:t xml:space="preserve">Second automobiles and other motor vehicles, boats, and trailers (other than those used as the appointee’s residence)* </w:t>
            </w:r>
          </w:p>
        </w:tc>
        <w:tc>
          <w:tcPr>
            <w:tcW w:w="4950" w:type="dxa"/>
            <w:gridSpan w:val="2"/>
            <w:tcBorders>
              <w:top w:val="single" w:sz="12" w:space="0" w:color="auto"/>
              <w:left w:val="single" w:sz="12" w:space="0" w:color="auto"/>
              <w:bottom w:val="single" w:sz="12" w:space="0" w:color="auto"/>
              <w:right w:val="single" w:sz="12" w:space="0" w:color="auto"/>
            </w:tcBorders>
          </w:tcPr>
          <w:p w:rsidR="0091045B" w:rsidRPr="00771C91" w:rsidRDefault="0091045B" w:rsidP="00847442">
            <w:pPr>
              <w:pStyle w:val="Default"/>
              <w:rPr>
                <w:rFonts w:ascii="Verdana" w:hAnsi="Verdana"/>
                <w:sz w:val="22"/>
                <w:szCs w:val="22"/>
              </w:rPr>
            </w:pPr>
            <w:r w:rsidRPr="00771C91">
              <w:rPr>
                <w:rFonts w:ascii="Verdana" w:hAnsi="Verdana"/>
                <w:sz w:val="22"/>
                <w:szCs w:val="22"/>
              </w:rPr>
              <w:t xml:space="preserve">No </w:t>
            </w:r>
          </w:p>
        </w:tc>
      </w:tr>
      <w:tr w:rsidR="0091045B" w:rsidRPr="00771C91" w:rsidTr="00131A3D">
        <w:trPr>
          <w:gridAfter w:val="1"/>
          <w:wAfter w:w="236" w:type="dxa"/>
          <w:trHeight w:val="363"/>
        </w:trPr>
        <w:tc>
          <w:tcPr>
            <w:tcW w:w="5508" w:type="dxa"/>
            <w:tcBorders>
              <w:top w:val="single" w:sz="12" w:space="0" w:color="auto"/>
              <w:left w:val="single" w:sz="12" w:space="0" w:color="auto"/>
              <w:bottom w:val="single" w:sz="12" w:space="0" w:color="auto"/>
              <w:right w:val="single" w:sz="12" w:space="0" w:color="auto"/>
            </w:tcBorders>
          </w:tcPr>
          <w:p w:rsidR="0091045B" w:rsidRPr="00771C91" w:rsidRDefault="0091045B" w:rsidP="00847442">
            <w:pPr>
              <w:pStyle w:val="Default"/>
              <w:rPr>
                <w:rFonts w:ascii="Verdana" w:hAnsi="Verdana"/>
                <w:sz w:val="22"/>
                <w:szCs w:val="22"/>
              </w:rPr>
            </w:pPr>
            <w:r w:rsidRPr="00771C91">
              <w:rPr>
                <w:rFonts w:ascii="Verdana" w:hAnsi="Verdana"/>
                <w:sz w:val="22"/>
                <w:szCs w:val="22"/>
              </w:rPr>
              <w:t xml:space="preserve">Expenses related to buying or selling a house* </w:t>
            </w:r>
          </w:p>
        </w:tc>
        <w:tc>
          <w:tcPr>
            <w:tcW w:w="4950" w:type="dxa"/>
            <w:gridSpan w:val="2"/>
            <w:tcBorders>
              <w:top w:val="single" w:sz="12" w:space="0" w:color="auto"/>
              <w:left w:val="single" w:sz="12" w:space="0" w:color="auto"/>
              <w:bottom w:val="single" w:sz="12" w:space="0" w:color="auto"/>
              <w:right w:val="single" w:sz="12" w:space="0" w:color="auto"/>
            </w:tcBorders>
          </w:tcPr>
          <w:p w:rsidR="0091045B" w:rsidRPr="00771C91" w:rsidRDefault="0091045B" w:rsidP="00847442">
            <w:pPr>
              <w:pStyle w:val="Default"/>
              <w:rPr>
                <w:rFonts w:ascii="Verdana" w:hAnsi="Verdana"/>
                <w:sz w:val="22"/>
                <w:szCs w:val="22"/>
              </w:rPr>
            </w:pPr>
            <w:r w:rsidRPr="00771C91">
              <w:rPr>
                <w:rFonts w:ascii="Verdana" w:hAnsi="Verdana"/>
                <w:sz w:val="22"/>
                <w:szCs w:val="22"/>
              </w:rPr>
              <w:t xml:space="preserve">No </w:t>
            </w:r>
          </w:p>
        </w:tc>
      </w:tr>
      <w:tr w:rsidR="0091045B" w:rsidRPr="00771C91" w:rsidTr="00131A3D">
        <w:trPr>
          <w:gridAfter w:val="1"/>
          <w:wAfter w:w="236" w:type="dxa"/>
          <w:trHeight w:val="327"/>
        </w:trPr>
        <w:tc>
          <w:tcPr>
            <w:tcW w:w="5508" w:type="dxa"/>
            <w:tcBorders>
              <w:top w:val="single" w:sz="12" w:space="0" w:color="auto"/>
              <w:left w:val="single" w:sz="12" w:space="0" w:color="auto"/>
              <w:bottom w:val="single" w:sz="12" w:space="0" w:color="auto"/>
              <w:right w:val="single" w:sz="12" w:space="0" w:color="auto"/>
            </w:tcBorders>
          </w:tcPr>
          <w:p w:rsidR="0091045B" w:rsidRPr="00771C91" w:rsidRDefault="0091045B" w:rsidP="00847442">
            <w:pPr>
              <w:pStyle w:val="Default"/>
              <w:rPr>
                <w:rFonts w:ascii="Verdana" w:hAnsi="Verdana"/>
                <w:sz w:val="22"/>
                <w:szCs w:val="22"/>
              </w:rPr>
            </w:pPr>
            <w:r w:rsidRPr="00771C91">
              <w:rPr>
                <w:rFonts w:ascii="Verdana" w:hAnsi="Verdana"/>
                <w:sz w:val="22"/>
                <w:szCs w:val="22"/>
              </w:rPr>
              <w:t xml:space="preserve">Expenses for renting temporary living quarters* </w:t>
            </w:r>
          </w:p>
        </w:tc>
        <w:tc>
          <w:tcPr>
            <w:tcW w:w="4950" w:type="dxa"/>
            <w:gridSpan w:val="2"/>
            <w:tcBorders>
              <w:top w:val="single" w:sz="12" w:space="0" w:color="auto"/>
              <w:left w:val="single" w:sz="12" w:space="0" w:color="auto"/>
              <w:bottom w:val="single" w:sz="12" w:space="0" w:color="auto"/>
              <w:right w:val="single" w:sz="12" w:space="0" w:color="auto"/>
            </w:tcBorders>
          </w:tcPr>
          <w:p w:rsidR="0091045B" w:rsidRPr="00771C91" w:rsidRDefault="0091045B" w:rsidP="00847442">
            <w:pPr>
              <w:pStyle w:val="Default"/>
              <w:rPr>
                <w:rFonts w:ascii="Verdana" w:hAnsi="Verdana"/>
                <w:sz w:val="22"/>
                <w:szCs w:val="22"/>
              </w:rPr>
            </w:pPr>
            <w:r w:rsidRPr="00771C91">
              <w:rPr>
                <w:rFonts w:ascii="Verdana" w:hAnsi="Verdana"/>
                <w:sz w:val="22"/>
                <w:szCs w:val="22"/>
              </w:rPr>
              <w:t xml:space="preserve">No </w:t>
            </w:r>
          </w:p>
        </w:tc>
      </w:tr>
      <w:tr w:rsidR="0091045B" w:rsidRPr="00771C91" w:rsidTr="00131A3D">
        <w:trPr>
          <w:gridAfter w:val="1"/>
          <w:wAfter w:w="236" w:type="dxa"/>
          <w:trHeight w:val="543"/>
        </w:trPr>
        <w:tc>
          <w:tcPr>
            <w:tcW w:w="5508" w:type="dxa"/>
            <w:tcBorders>
              <w:top w:val="single" w:sz="12" w:space="0" w:color="auto"/>
              <w:left w:val="single" w:sz="12" w:space="0" w:color="auto"/>
              <w:bottom w:val="single" w:sz="12" w:space="0" w:color="auto"/>
              <w:right w:val="single" w:sz="12" w:space="0" w:color="auto"/>
            </w:tcBorders>
          </w:tcPr>
          <w:p w:rsidR="0091045B" w:rsidRPr="00771C91" w:rsidRDefault="0091045B" w:rsidP="00847442">
            <w:pPr>
              <w:pStyle w:val="Default"/>
              <w:rPr>
                <w:rFonts w:ascii="Verdana" w:hAnsi="Verdana"/>
                <w:sz w:val="22"/>
                <w:szCs w:val="22"/>
              </w:rPr>
            </w:pPr>
            <w:r w:rsidRPr="00771C91">
              <w:rPr>
                <w:rFonts w:ascii="Verdana" w:hAnsi="Verdana"/>
                <w:sz w:val="22"/>
                <w:szCs w:val="22"/>
              </w:rPr>
              <w:t xml:space="preserve">Building materials, animals raised for profit, farming equipment, livestock </w:t>
            </w:r>
          </w:p>
        </w:tc>
        <w:tc>
          <w:tcPr>
            <w:tcW w:w="4950" w:type="dxa"/>
            <w:gridSpan w:val="2"/>
            <w:tcBorders>
              <w:top w:val="single" w:sz="12" w:space="0" w:color="auto"/>
              <w:left w:val="single" w:sz="12" w:space="0" w:color="auto"/>
              <w:bottom w:val="single" w:sz="12" w:space="0" w:color="auto"/>
              <w:right w:val="single" w:sz="12" w:space="0" w:color="auto"/>
            </w:tcBorders>
          </w:tcPr>
          <w:p w:rsidR="0091045B" w:rsidRPr="00771C91" w:rsidRDefault="0091045B" w:rsidP="00847442">
            <w:pPr>
              <w:pStyle w:val="Default"/>
              <w:rPr>
                <w:rFonts w:ascii="Verdana" w:hAnsi="Verdana"/>
                <w:sz w:val="22"/>
                <w:szCs w:val="22"/>
              </w:rPr>
            </w:pPr>
            <w:r w:rsidRPr="00771C91">
              <w:rPr>
                <w:rFonts w:ascii="Verdana" w:hAnsi="Verdana"/>
                <w:sz w:val="22"/>
                <w:szCs w:val="22"/>
              </w:rPr>
              <w:t xml:space="preserve">No </w:t>
            </w:r>
          </w:p>
        </w:tc>
      </w:tr>
      <w:tr w:rsidR="0091045B" w:rsidRPr="00771C91" w:rsidTr="00131A3D">
        <w:trPr>
          <w:gridAfter w:val="1"/>
          <w:wAfter w:w="236" w:type="dxa"/>
          <w:trHeight w:val="597"/>
        </w:trPr>
        <w:tc>
          <w:tcPr>
            <w:tcW w:w="5508" w:type="dxa"/>
            <w:tcBorders>
              <w:top w:val="single" w:sz="12" w:space="0" w:color="auto"/>
              <w:left w:val="single" w:sz="12" w:space="0" w:color="auto"/>
              <w:bottom w:val="single" w:sz="12" w:space="0" w:color="auto"/>
              <w:right w:val="single" w:sz="12" w:space="0" w:color="auto"/>
            </w:tcBorders>
          </w:tcPr>
          <w:p w:rsidR="0091045B" w:rsidRPr="00771C91" w:rsidRDefault="0091045B" w:rsidP="00847442">
            <w:pPr>
              <w:pStyle w:val="Default"/>
              <w:rPr>
                <w:rFonts w:ascii="Verdana" w:hAnsi="Verdana"/>
                <w:sz w:val="22"/>
                <w:szCs w:val="22"/>
              </w:rPr>
            </w:pPr>
            <w:r w:rsidRPr="00771C91">
              <w:rPr>
                <w:rFonts w:ascii="Verdana" w:hAnsi="Verdana"/>
                <w:sz w:val="22"/>
                <w:szCs w:val="22"/>
              </w:rPr>
              <w:t xml:space="preserve">Reimbursement request submission timeframe* </w:t>
            </w:r>
          </w:p>
        </w:tc>
        <w:tc>
          <w:tcPr>
            <w:tcW w:w="4950" w:type="dxa"/>
            <w:gridSpan w:val="2"/>
            <w:tcBorders>
              <w:top w:val="single" w:sz="12" w:space="0" w:color="auto"/>
              <w:left w:val="single" w:sz="12" w:space="0" w:color="auto"/>
              <w:bottom w:val="single" w:sz="12" w:space="0" w:color="auto"/>
              <w:right w:val="single" w:sz="12" w:space="0" w:color="auto"/>
            </w:tcBorders>
          </w:tcPr>
          <w:p w:rsidR="0091045B" w:rsidRPr="00771C91" w:rsidRDefault="0091045B" w:rsidP="00847442">
            <w:pPr>
              <w:pStyle w:val="Default"/>
              <w:rPr>
                <w:rFonts w:ascii="Verdana" w:hAnsi="Verdana"/>
                <w:sz w:val="23"/>
                <w:szCs w:val="23"/>
              </w:rPr>
            </w:pPr>
            <w:r w:rsidRPr="00771C91">
              <w:rPr>
                <w:rFonts w:ascii="Verdana" w:hAnsi="Verdana"/>
                <w:sz w:val="23"/>
                <w:szCs w:val="23"/>
              </w:rPr>
              <w:t xml:space="preserve">Within one year of the effective date of appointment </w:t>
            </w:r>
          </w:p>
        </w:tc>
      </w:tr>
    </w:tbl>
    <w:p w:rsidR="0091045B" w:rsidRPr="00771C91" w:rsidRDefault="0091045B" w:rsidP="0091045B">
      <w:pPr>
        <w:pStyle w:val="Default"/>
        <w:rPr>
          <w:rFonts w:ascii="Verdana" w:hAnsi="Verdana"/>
          <w:sz w:val="22"/>
          <w:szCs w:val="22"/>
        </w:rPr>
      </w:pPr>
      <w:r w:rsidRPr="00771C91">
        <w:rPr>
          <w:rFonts w:ascii="Verdana" w:hAnsi="Verdana"/>
          <w:sz w:val="22"/>
          <w:szCs w:val="22"/>
        </w:rPr>
        <w:t xml:space="preserve">*Pursuant to current IRS provisions, reimbursement of these expenses represents taxable income to the employee and will be reported on the employee’s W-2 subject to appropriate payroll tax withholding. </w:t>
      </w:r>
    </w:p>
    <w:p w:rsidR="0091045B" w:rsidRDefault="0091045B" w:rsidP="0091045B">
      <w:pPr>
        <w:pStyle w:val="Default"/>
        <w:rPr>
          <w:sz w:val="23"/>
          <w:szCs w:val="23"/>
        </w:rPr>
      </w:pPr>
    </w:p>
    <w:p w:rsidR="0091045B" w:rsidRDefault="00A41E69" w:rsidP="0091045B">
      <w:pPr>
        <w:pBdr>
          <w:top w:val="thickThinLargeGap" w:sz="24" w:space="1" w:color="auto"/>
          <w:bottom w:val="thickThinLargeGap" w:sz="24" w:space="1" w:color="auto"/>
        </w:pBdr>
        <w:spacing w:after="0" w:line="240" w:lineRule="auto"/>
        <w:rPr>
          <w:rFonts w:ascii="Arial" w:hAnsi="Arial" w:cs="Arial"/>
          <w:b/>
          <w:sz w:val="28"/>
          <w:szCs w:val="28"/>
        </w:rPr>
      </w:pPr>
      <w:r>
        <w:rPr>
          <w:rFonts w:ascii="Arial" w:hAnsi="Arial" w:cs="Arial"/>
          <w:b/>
          <w:sz w:val="28"/>
          <w:szCs w:val="28"/>
        </w:rPr>
        <w:t>PROCEDURE</w:t>
      </w:r>
    </w:p>
    <w:p w:rsidR="00131A3D" w:rsidRDefault="00131A3D" w:rsidP="00771C91">
      <w:pPr>
        <w:pStyle w:val="ListParagraph"/>
        <w:numPr>
          <w:ilvl w:val="0"/>
          <w:numId w:val="2"/>
        </w:numPr>
        <w:spacing w:before="100" w:beforeAutospacing="1" w:after="100" w:afterAutospacing="1" w:line="240" w:lineRule="auto"/>
        <w:ind w:left="630" w:hanging="630"/>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The candidate for employment must sign the offer letter for employment. </w:t>
      </w:r>
    </w:p>
    <w:p w:rsidR="00131A3D" w:rsidRDefault="00A41E69" w:rsidP="00771C91">
      <w:pPr>
        <w:pStyle w:val="ListParagraph"/>
        <w:numPr>
          <w:ilvl w:val="0"/>
          <w:numId w:val="2"/>
        </w:numPr>
        <w:spacing w:before="100" w:beforeAutospacing="1" w:after="100" w:afterAutospacing="1" w:line="240" w:lineRule="auto"/>
        <w:ind w:left="630" w:hanging="630"/>
        <w:rPr>
          <w:rFonts w:ascii="Verdana" w:eastAsia="Times New Roman" w:hAnsi="Verdana" w:cs="Times New Roman"/>
          <w:color w:val="000000"/>
          <w:sz w:val="24"/>
          <w:szCs w:val="24"/>
        </w:rPr>
      </w:pPr>
      <w:r w:rsidRPr="00131A3D">
        <w:rPr>
          <w:rFonts w:ascii="Verdana" w:eastAsia="Times New Roman" w:hAnsi="Verdana" w:cs="Times New Roman"/>
          <w:color w:val="000000"/>
          <w:sz w:val="24"/>
          <w:szCs w:val="24"/>
        </w:rPr>
        <w:t xml:space="preserve">The </w:t>
      </w:r>
      <w:r w:rsidR="00131A3D" w:rsidRPr="00131A3D">
        <w:rPr>
          <w:rFonts w:ascii="Verdana" w:eastAsia="Times New Roman" w:hAnsi="Verdana" w:cs="Times New Roman"/>
          <w:color w:val="000000"/>
          <w:sz w:val="24"/>
          <w:szCs w:val="24"/>
        </w:rPr>
        <w:t xml:space="preserve">Area </w:t>
      </w:r>
      <w:r w:rsidRPr="00131A3D">
        <w:rPr>
          <w:rFonts w:ascii="Verdana" w:eastAsia="Times New Roman" w:hAnsi="Verdana" w:cs="Times New Roman"/>
          <w:color w:val="000000"/>
          <w:sz w:val="24"/>
          <w:szCs w:val="24"/>
        </w:rPr>
        <w:t>Vice President</w:t>
      </w:r>
      <w:r w:rsidR="00131A3D" w:rsidRPr="00131A3D">
        <w:rPr>
          <w:rFonts w:ascii="Verdana" w:eastAsia="Times New Roman" w:hAnsi="Verdana" w:cs="Times New Roman"/>
          <w:color w:val="000000"/>
          <w:sz w:val="24"/>
          <w:szCs w:val="24"/>
        </w:rPr>
        <w:t xml:space="preserve"> must </w:t>
      </w:r>
      <w:r w:rsidR="00131A3D">
        <w:rPr>
          <w:rFonts w:ascii="Verdana" w:eastAsia="Times New Roman" w:hAnsi="Verdana" w:cs="Times New Roman"/>
          <w:color w:val="000000"/>
          <w:sz w:val="24"/>
          <w:szCs w:val="24"/>
        </w:rPr>
        <w:t>provide the Department of Human Resources with authorization to pay relocation expenses.</w:t>
      </w:r>
    </w:p>
    <w:p w:rsidR="00A41E69" w:rsidRDefault="00131A3D" w:rsidP="00771C91">
      <w:pPr>
        <w:pStyle w:val="ListParagraph"/>
        <w:numPr>
          <w:ilvl w:val="0"/>
          <w:numId w:val="2"/>
        </w:numPr>
        <w:spacing w:before="100" w:beforeAutospacing="1" w:after="100" w:afterAutospacing="1" w:line="240" w:lineRule="auto"/>
        <w:ind w:left="630" w:hanging="630"/>
        <w:rPr>
          <w:rFonts w:ascii="Verdana" w:eastAsia="Times New Roman" w:hAnsi="Verdana" w:cs="Times New Roman"/>
          <w:color w:val="000000"/>
          <w:sz w:val="24"/>
          <w:szCs w:val="24"/>
        </w:rPr>
      </w:pPr>
      <w:r>
        <w:rPr>
          <w:rFonts w:ascii="Verdana" w:eastAsia="Times New Roman" w:hAnsi="Verdana" w:cs="Times New Roman"/>
          <w:color w:val="000000"/>
          <w:sz w:val="24"/>
          <w:szCs w:val="24"/>
        </w:rPr>
        <w:t>This authorization must</w:t>
      </w:r>
      <w:r w:rsidR="00A41E69" w:rsidRPr="00131A3D">
        <w:rPr>
          <w:rFonts w:ascii="Verdana" w:eastAsia="Times New Roman" w:hAnsi="Verdana" w:cs="Times New Roman"/>
          <w:color w:val="000000"/>
          <w:sz w:val="24"/>
          <w:szCs w:val="24"/>
        </w:rPr>
        <w:t xml:space="preserve"> indicate the maximum amount of money payable to the individual. </w:t>
      </w:r>
    </w:p>
    <w:p w:rsidR="00131A3D" w:rsidRPr="00131A3D" w:rsidRDefault="00131A3D" w:rsidP="00771C91">
      <w:pPr>
        <w:pStyle w:val="ListParagraph"/>
        <w:numPr>
          <w:ilvl w:val="0"/>
          <w:numId w:val="2"/>
        </w:numPr>
        <w:spacing w:before="100" w:beforeAutospacing="1" w:after="100" w:afterAutospacing="1" w:line="240" w:lineRule="auto"/>
        <w:ind w:left="630" w:hanging="630"/>
        <w:rPr>
          <w:rFonts w:ascii="Verdana" w:eastAsia="Times New Roman" w:hAnsi="Verdana" w:cs="Times New Roman"/>
          <w:color w:val="000000"/>
          <w:sz w:val="24"/>
          <w:szCs w:val="24"/>
        </w:rPr>
      </w:pPr>
      <w:r w:rsidRPr="00131A3D">
        <w:rPr>
          <w:rFonts w:ascii="Verdana" w:hAnsi="Verdana"/>
          <w:sz w:val="24"/>
          <w:szCs w:val="24"/>
        </w:rPr>
        <w:t>The reimbursement will be based on costs from a reasonable distance and budget availability.</w:t>
      </w:r>
    </w:p>
    <w:p w:rsidR="00131A3D" w:rsidRPr="00131A3D" w:rsidRDefault="00131A3D" w:rsidP="00771C91">
      <w:pPr>
        <w:pStyle w:val="ListParagraph"/>
        <w:numPr>
          <w:ilvl w:val="0"/>
          <w:numId w:val="2"/>
        </w:numPr>
        <w:spacing w:before="100" w:beforeAutospacing="1" w:after="100" w:afterAutospacing="1" w:line="240" w:lineRule="auto"/>
        <w:ind w:left="630" w:hanging="630"/>
        <w:rPr>
          <w:rFonts w:ascii="Verdana" w:eastAsia="Times New Roman" w:hAnsi="Verdana" w:cs="Times New Roman"/>
          <w:color w:val="000000"/>
          <w:sz w:val="24"/>
          <w:szCs w:val="24"/>
        </w:rPr>
      </w:pPr>
      <w:r>
        <w:rPr>
          <w:rFonts w:ascii="Verdana" w:hAnsi="Verdana"/>
          <w:sz w:val="24"/>
          <w:szCs w:val="24"/>
        </w:rPr>
        <w:t xml:space="preserve">The candidate must complete the </w:t>
      </w:r>
      <w:r w:rsidR="00847442">
        <w:rPr>
          <w:rFonts w:ascii="Verdana" w:hAnsi="Verdana"/>
          <w:sz w:val="24"/>
          <w:szCs w:val="24"/>
        </w:rPr>
        <w:t>Request for reimbursement of Moving Expenses (Form AC-1099)</w:t>
      </w:r>
      <w:r>
        <w:rPr>
          <w:rFonts w:ascii="Verdana" w:hAnsi="Verdana"/>
          <w:sz w:val="24"/>
          <w:szCs w:val="24"/>
        </w:rPr>
        <w:t>.</w:t>
      </w:r>
    </w:p>
    <w:p w:rsidR="00131A3D" w:rsidRPr="00131A3D" w:rsidRDefault="00131A3D" w:rsidP="00771C91">
      <w:pPr>
        <w:pStyle w:val="ListParagraph"/>
        <w:numPr>
          <w:ilvl w:val="0"/>
          <w:numId w:val="2"/>
        </w:numPr>
        <w:spacing w:before="100" w:beforeAutospacing="1" w:after="100" w:afterAutospacing="1" w:line="240" w:lineRule="auto"/>
        <w:ind w:left="630" w:hanging="630"/>
        <w:rPr>
          <w:rFonts w:ascii="Verdana" w:eastAsia="Times New Roman" w:hAnsi="Verdana" w:cs="Times New Roman"/>
          <w:color w:val="000000"/>
          <w:sz w:val="24"/>
          <w:szCs w:val="24"/>
        </w:rPr>
      </w:pPr>
      <w:r>
        <w:rPr>
          <w:rFonts w:ascii="Verdana" w:hAnsi="Verdana"/>
          <w:sz w:val="24"/>
          <w:szCs w:val="24"/>
        </w:rPr>
        <w:t>The candidate must sign the repayment agreement on the form.</w:t>
      </w:r>
    </w:p>
    <w:p w:rsidR="00131A3D" w:rsidRPr="00771C91" w:rsidRDefault="00131A3D" w:rsidP="00771C91">
      <w:pPr>
        <w:pStyle w:val="ListParagraph"/>
        <w:numPr>
          <w:ilvl w:val="0"/>
          <w:numId w:val="2"/>
        </w:numPr>
        <w:spacing w:before="100" w:beforeAutospacing="1" w:after="100" w:afterAutospacing="1" w:line="240" w:lineRule="auto"/>
        <w:ind w:left="630" w:hanging="630"/>
        <w:rPr>
          <w:rFonts w:ascii="Verdana" w:eastAsia="Times New Roman" w:hAnsi="Verdana" w:cs="Times New Roman"/>
          <w:color w:val="000000"/>
          <w:sz w:val="24"/>
          <w:szCs w:val="24"/>
        </w:rPr>
      </w:pPr>
      <w:r w:rsidRPr="00771C91">
        <w:rPr>
          <w:rFonts w:ascii="Verdana" w:hAnsi="Verdana"/>
          <w:sz w:val="24"/>
          <w:szCs w:val="24"/>
        </w:rPr>
        <w:t xml:space="preserve">A receipted original or carbon copy of the Bill of Lading or Freight Bill must be attached. Additionally, if a certified carrier is not used, copies of three competitive bids must be included. </w:t>
      </w:r>
    </w:p>
    <w:p w:rsidR="00131A3D" w:rsidRPr="00771C91" w:rsidRDefault="00131A3D" w:rsidP="00771C91">
      <w:pPr>
        <w:pStyle w:val="ListParagraph"/>
        <w:numPr>
          <w:ilvl w:val="0"/>
          <w:numId w:val="2"/>
        </w:numPr>
        <w:spacing w:before="100" w:beforeAutospacing="1" w:after="100" w:afterAutospacing="1" w:line="240" w:lineRule="auto"/>
        <w:ind w:left="630" w:hanging="630"/>
        <w:rPr>
          <w:rFonts w:ascii="Verdana" w:eastAsia="Times New Roman" w:hAnsi="Verdana" w:cs="Times New Roman"/>
          <w:color w:val="000000"/>
          <w:sz w:val="24"/>
          <w:szCs w:val="24"/>
        </w:rPr>
      </w:pPr>
      <w:r w:rsidRPr="00771C91">
        <w:rPr>
          <w:rFonts w:ascii="Verdana" w:hAnsi="Verdana"/>
          <w:sz w:val="24"/>
          <w:szCs w:val="24"/>
        </w:rPr>
        <w:t>A Standard Voucher (</w:t>
      </w:r>
      <w:r w:rsidR="00847442">
        <w:rPr>
          <w:rFonts w:ascii="Verdana" w:hAnsi="Verdana"/>
          <w:sz w:val="24"/>
          <w:szCs w:val="24"/>
        </w:rPr>
        <w:t xml:space="preserve">Form </w:t>
      </w:r>
      <w:r w:rsidRPr="00771C91">
        <w:rPr>
          <w:rFonts w:ascii="Verdana" w:hAnsi="Verdana"/>
          <w:sz w:val="24"/>
          <w:szCs w:val="24"/>
        </w:rPr>
        <w:t>AC-92)</w:t>
      </w:r>
      <w:r w:rsidR="00847442">
        <w:rPr>
          <w:rFonts w:ascii="Verdana" w:hAnsi="Verdana"/>
          <w:sz w:val="24"/>
          <w:szCs w:val="24"/>
        </w:rPr>
        <w:t xml:space="preserve"> </w:t>
      </w:r>
      <w:r w:rsidRPr="00771C91">
        <w:rPr>
          <w:rFonts w:ascii="Verdana" w:hAnsi="Verdana"/>
          <w:sz w:val="24"/>
          <w:szCs w:val="24"/>
        </w:rPr>
        <w:t xml:space="preserve">must be attached providing a summary of the details of allowable expenditures. </w:t>
      </w:r>
    </w:p>
    <w:p w:rsidR="0091045B" w:rsidRPr="00771C91" w:rsidRDefault="00131A3D" w:rsidP="00771C91">
      <w:pPr>
        <w:pStyle w:val="ListParagraph"/>
        <w:numPr>
          <w:ilvl w:val="0"/>
          <w:numId w:val="2"/>
        </w:numPr>
        <w:spacing w:before="100" w:beforeAutospacing="1" w:after="100" w:afterAutospacing="1" w:line="240" w:lineRule="auto"/>
        <w:ind w:left="630" w:hanging="630"/>
        <w:rPr>
          <w:sz w:val="24"/>
          <w:szCs w:val="24"/>
        </w:rPr>
      </w:pPr>
      <w:r w:rsidRPr="00771C91">
        <w:rPr>
          <w:rFonts w:ascii="Verdana" w:hAnsi="Verdana"/>
          <w:sz w:val="24"/>
          <w:szCs w:val="24"/>
        </w:rPr>
        <w:t>All completed forms should be submitted to the Director of Human Resources or designee for processing.</w:t>
      </w:r>
    </w:p>
    <w:p w:rsidR="0091045B" w:rsidRDefault="0091045B" w:rsidP="0091045B">
      <w:pPr>
        <w:pBdr>
          <w:top w:val="thickThinLargeGap" w:sz="24" w:space="1" w:color="auto"/>
          <w:bottom w:val="thickThinLargeGap" w:sz="24" w:space="1" w:color="auto"/>
        </w:pBdr>
        <w:spacing w:after="0" w:line="240" w:lineRule="auto"/>
        <w:rPr>
          <w:rFonts w:ascii="Arial" w:hAnsi="Arial" w:cs="Arial"/>
          <w:b/>
          <w:sz w:val="28"/>
          <w:szCs w:val="28"/>
        </w:rPr>
      </w:pPr>
      <w:r>
        <w:rPr>
          <w:rFonts w:ascii="Arial" w:hAnsi="Arial" w:cs="Arial"/>
          <w:b/>
          <w:sz w:val="28"/>
          <w:szCs w:val="28"/>
        </w:rPr>
        <w:t>RELATED INFORMATION AND FORMS</w:t>
      </w:r>
    </w:p>
    <w:p w:rsidR="0091045B" w:rsidRPr="00771C91" w:rsidRDefault="0091045B" w:rsidP="0091045B">
      <w:pPr>
        <w:pStyle w:val="Default"/>
        <w:rPr>
          <w:b/>
          <w:bCs/>
          <w:sz w:val="16"/>
          <w:szCs w:val="16"/>
        </w:rPr>
      </w:pPr>
    </w:p>
    <w:p w:rsidR="00131A3D" w:rsidRPr="00131A3D" w:rsidRDefault="00131A3D" w:rsidP="00131A3D">
      <w:pPr>
        <w:spacing w:after="0"/>
        <w:rPr>
          <w:rFonts w:eastAsiaTheme="minorEastAsia" w:cs="Garamond"/>
          <w:b/>
          <w:sz w:val="28"/>
          <w:szCs w:val="28"/>
        </w:rPr>
      </w:pPr>
      <w:r w:rsidRPr="00131A3D">
        <w:rPr>
          <w:rFonts w:eastAsiaTheme="minorEastAsia" w:cs="Garamond"/>
          <w:b/>
          <w:sz w:val="28"/>
          <w:szCs w:val="28"/>
        </w:rPr>
        <w:t xml:space="preserve">Request for reimbursement of Moving Expense </w:t>
      </w:r>
      <w:r w:rsidR="00847442">
        <w:rPr>
          <w:rFonts w:eastAsiaTheme="minorEastAsia" w:cs="Garamond"/>
          <w:b/>
          <w:sz w:val="28"/>
          <w:szCs w:val="28"/>
        </w:rPr>
        <w:t>(</w:t>
      </w:r>
      <w:r w:rsidRPr="00131A3D">
        <w:rPr>
          <w:rFonts w:eastAsiaTheme="minorEastAsia" w:cs="Garamond"/>
          <w:b/>
          <w:sz w:val="28"/>
          <w:szCs w:val="28"/>
        </w:rPr>
        <w:t>Form AC-1099</w:t>
      </w:r>
      <w:r w:rsidR="00847442">
        <w:rPr>
          <w:rFonts w:eastAsiaTheme="minorEastAsia" w:cs="Garamond"/>
          <w:b/>
          <w:sz w:val="28"/>
          <w:szCs w:val="28"/>
        </w:rPr>
        <w:t>)</w:t>
      </w:r>
    </w:p>
    <w:p w:rsidR="00131A3D" w:rsidRPr="00771C91" w:rsidRDefault="0063468B" w:rsidP="00131A3D">
      <w:pPr>
        <w:spacing w:after="0"/>
        <w:rPr>
          <w:rFonts w:eastAsiaTheme="minorEastAsia" w:cs="Garamond"/>
          <w:sz w:val="16"/>
          <w:szCs w:val="16"/>
        </w:rPr>
      </w:pPr>
      <w:hyperlink r:id="rId8" w:history="1">
        <w:r w:rsidRPr="005C7BF0">
          <w:rPr>
            <w:rStyle w:val="Hyperlink"/>
            <w:rFonts w:eastAsiaTheme="minorEastAsia" w:cs="Garamond"/>
            <w:sz w:val="16"/>
            <w:szCs w:val="16"/>
          </w:rPr>
          <w:t>http://www.osc.state.ny.us/agencie</w:t>
        </w:r>
        <w:r w:rsidRPr="005C7BF0">
          <w:rPr>
            <w:rStyle w:val="Hyperlink"/>
            <w:rFonts w:eastAsiaTheme="minorEastAsia" w:cs="Garamond"/>
            <w:sz w:val="16"/>
            <w:szCs w:val="16"/>
          </w:rPr>
          <w:t>s</w:t>
        </w:r>
        <w:r w:rsidRPr="005C7BF0">
          <w:rPr>
            <w:rStyle w:val="Hyperlink"/>
            <w:rFonts w:eastAsiaTheme="minorEastAsia" w:cs="Garamond"/>
            <w:sz w:val="16"/>
            <w:szCs w:val="16"/>
          </w:rPr>
          <w:t>/forms/ac1099s_fe.pdf</w:t>
        </w:r>
      </w:hyperlink>
      <w:r>
        <w:rPr>
          <w:rFonts w:eastAsiaTheme="minorEastAsia" w:cs="Garamond"/>
          <w:sz w:val="16"/>
          <w:szCs w:val="16"/>
        </w:rPr>
        <w:t xml:space="preserve"> </w:t>
      </w:r>
    </w:p>
    <w:p w:rsidR="00847442" w:rsidRDefault="00847442" w:rsidP="00A41E69">
      <w:pPr>
        <w:spacing w:after="0" w:line="240" w:lineRule="auto"/>
        <w:rPr>
          <w:rFonts w:eastAsiaTheme="minorEastAsia" w:cs="Garamond"/>
          <w:b/>
          <w:sz w:val="27"/>
          <w:szCs w:val="27"/>
        </w:rPr>
      </w:pPr>
      <w:r>
        <w:rPr>
          <w:rFonts w:eastAsiaTheme="minorEastAsia" w:cs="Garamond"/>
          <w:b/>
          <w:sz w:val="27"/>
          <w:szCs w:val="27"/>
        </w:rPr>
        <w:t>Standard Voucher (Form AC-92)</w:t>
      </w:r>
      <w:bookmarkStart w:id="0" w:name="_GoBack"/>
      <w:bookmarkEnd w:id="0"/>
    </w:p>
    <w:p w:rsidR="00847442" w:rsidRDefault="0063468B" w:rsidP="00A41E69">
      <w:pPr>
        <w:spacing w:after="0" w:line="240" w:lineRule="auto"/>
        <w:rPr>
          <w:color w:val="0000FF"/>
          <w:sz w:val="27"/>
          <w:szCs w:val="27"/>
          <w:u w:val="single"/>
        </w:rPr>
      </w:pPr>
      <w:hyperlink r:id="rId9" w:history="1">
        <w:r w:rsidR="00161482" w:rsidRPr="006274B4">
          <w:rPr>
            <w:rStyle w:val="Hyperlink"/>
            <w:sz w:val="27"/>
            <w:szCs w:val="27"/>
          </w:rPr>
          <w:t>http://www.osc.state.ny.us/agencies/ac92standvou.pdf</w:t>
        </w:r>
      </w:hyperlink>
    </w:p>
    <w:p w:rsidR="00847442" w:rsidRDefault="00847442" w:rsidP="00A41E69">
      <w:pPr>
        <w:spacing w:after="0" w:line="240" w:lineRule="auto"/>
        <w:rPr>
          <w:rFonts w:eastAsiaTheme="minorEastAsia" w:cs="Garamond"/>
          <w:b/>
          <w:sz w:val="27"/>
          <w:szCs w:val="27"/>
        </w:rPr>
      </w:pPr>
    </w:p>
    <w:p w:rsidR="00A41E69" w:rsidRPr="00A41E69" w:rsidRDefault="00A41E69" w:rsidP="00A41E69">
      <w:pPr>
        <w:spacing w:after="0" w:line="240" w:lineRule="auto"/>
        <w:rPr>
          <w:rFonts w:eastAsiaTheme="minorEastAsia" w:cs="Garamond"/>
          <w:b/>
          <w:sz w:val="27"/>
          <w:szCs w:val="27"/>
        </w:rPr>
      </w:pPr>
      <w:r w:rsidRPr="00A41E69">
        <w:rPr>
          <w:rFonts w:eastAsiaTheme="minorEastAsia" w:cs="Garamond"/>
          <w:b/>
          <w:sz w:val="27"/>
          <w:szCs w:val="27"/>
        </w:rPr>
        <w:t>New York State Finance Law 204</w:t>
      </w:r>
    </w:p>
    <w:p w:rsidR="00A41E69" w:rsidRPr="00847442" w:rsidRDefault="0063468B" w:rsidP="00A41E69">
      <w:pPr>
        <w:spacing w:after="0" w:line="240" w:lineRule="auto"/>
        <w:rPr>
          <w:rFonts w:eastAsiaTheme="minorEastAsia" w:cs="Garamond"/>
        </w:rPr>
      </w:pPr>
      <w:hyperlink r:id="rId10" w:history="1">
        <w:r w:rsidR="00A41E69" w:rsidRPr="00847442">
          <w:rPr>
            <w:rStyle w:val="Hyperlink"/>
            <w:rFonts w:eastAsiaTheme="minorEastAsia" w:cs="Garamond"/>
          </w:rPr>
          <w:t>http://public.leginfo.state.ny.us/LAWSSEAF.cgi?QUERYTYPE=LAWS+&amp;QUERYDATA=$$STF204$$@TXSTF0204+&amp;LIST=LAW+&amp;BROWSER=EXPLORER+&amp;TOKEN=31211802+&amp;TARGET=VIEW</w:t>
        </w:r>
      </w:hyperlink>
    </w:p>
    <w:p w:rsidR="00A41E69" w:rsidRPr="00847442" w:rsidRDefault="00A41E69" w:rsidP="00A41E69">
      <w:pPr>
        <w:spacing w:after="0" w:line="240" w:lineRule="auto"/>
        <w:rPr>
          <w:rFonts w:cs="Arial"/>
        </w:rPr>
      </w:pPr>
    </w:p>
    <w:p w:rsidR="00A41E69" w:rsidRDefault="00131A3D" w:rsidP="00A41E69">
      <w:pPr>
        <w:spacing w:after="0" w:line="240" w:lineRule="auto"/>
        <w:rPr>
          <w:b/>
          <w:bCs/>
          <w:sz w:val="27"/>
          <w:szCs w:val="27"/>
        </w:rPr>
      </w:pPr>
      <w:r>
        <w:rPr>
          <w:b/>
          <w:bCs/>
          <w:sz w:val="27"/>
          <w:szCs w:val="27"/>
        </w:rPr>
        <w:t>IRS Publication 5</w:t>
      </w:r>
      <w:r w:rsidR="00A41E69">
        <w:rPr>
          <w:b/>
          <w:bCs/>
          <w:sz w:val="27"/>
          <w:szCs w:val="27"/>
        </w:rPr>
        <w:t>21 Moving Expenses</w:t>
      </w:r>
    </w:p>
    <w:p w:rsidR="0091045B" w:rsidRPr="00847442" w:rsidRDefault="0063468B" w:rsidP="00A41E69">
      <w:pPr>
        <w:spacing w:after="0" w:line="240" w:lineRule="auto"/>
        <w:rPr>
          <w:b/>
          <w:bCs/>
        </w:rPr>
      </w:pPr>
      <w:hyperlink r:id="rId11" w:history="1">
        <w:r w:rsidR="00A41E69" w:rsidRPr="00847442">
          <w:rPr>
            <w:rStyle w:val="Hyperlink"/>
            <w:b/>
            <w:bCs/>
          </w:rPr>
          <w:t>http://www.irs.gov/pub/irs-pdf/p521.pdf</w:t>
        </w:r>
      </w:hyperlink>
    </w:p>
    <w:p w:rsidR="00771C91" w:rsidRPr="00771C91" w:rsidRDefault="00771C91" w:rsidP="00A41E69">
      <w:pPr>
        <w:spacing w:after="0" w:line="240" w:lineRule="auto"/>
        <w:rPr>
          <w:b/>
          <w:bCs/>
          <w:sz w:val="16"/>
          <w:szCs w:val="16"/>
        </w:rPr>
      </w:pPr>
    </w:p>
    <w:p w:rsidR="00A41E69" w:rsidRDefault="00A41E69" w:rsidP="00A41E69">
      <w:pPr>
        <w:spacing w:after="0" w:line="240" w:lineRule="auto"/>
        <w:rPr>
          <w:b/>
          <w:bCs/>
          <w:sz w:val="27"/>
          <w:szCs w:val="27"/>
        </w:rPr>
      </w:pPr>
      <w:r>
        <w:rPr>
          <w:b/>
          <w:bCs/>
          <w:sz w:val="27"/>
          <w:szCs w:val="27"/>
        </w:rPr>
        <w:t>State University of New York Policy – Payment of Moving Expenses</w:t>
      </w:r>
    </w:p>
    <w:p w:rsidR="00A41E69" w:rsidRPr="00847442" w:rsidRDefault="0063468B" w:rsidP="00A41E69">
      <w:pPr>
        <w:spacing w:after="0" w:line="240" w:lineRule="auto"/>
        <w:rPr>
          <w:b/>
          <w:bCs/>
        </w:rPr>
      </w:pPr>
      <w:hyperlink r:id="rId12" w:history="1">
        <w:r w:rsidR="00A41E69" w:rsidRPr="00847442">
          <w:rPr>
            <w:rStyle w:val="Hyperlink"/>
            <w:b/>
            <w:bCs/>
          </w:rPr>
          <w:t>http://www.suny.edu/sunypp/documents.cfm?doc_id=548</w:t>
        </w:r>
      </w:hyperlink>
    </w:p>
    <w:sectPr w:rsidR="00A41E69" w:rsidRPr="00847442" w:rsidSect="00771C91">
      <w:headerReference w:type="default" r:id="rId13"/>
      <w:pgSz w:w="12240" w:h="15840"/>
      <w:pgMar w:top="450" w:right="810" w:bottom="1440" w:left="8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442" w:rsidRDefault="00847442" w:rsidP="00771C91">
      <w:pPr>
        <w:spacing w:after="0" w:line="240" w:lineRule="auto"/>
      </w:pPr>
      <w:r>
        <w:separator/>
      </w:r>
    </w:p>
  </w:endnote>
  <w:endnote w:type="continuationSeparator" w:id="0">
    <w:p w:rsidR="00847442" w:rsidRDefault="00847442" w:rsidP="00771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442" w:rsidRDefault="00847442" w:rsidP="00771C91">
      <w:pPr>
        <w:spacing w:after="0" w:line="240" w:lineRule="auto"/>
      </w:pPr>
      <w:r>
        <w:separator/>
      </w:r>
    </w:p>
  </w:footnote>
  <w:footnote w:type="continuationSeparator" w:id="0">
    <w:p w:rsidR="00847442" w:rsidRDefault="00847442" w:rsidP="00771C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053189"/>
      <w:docPartObj>
        <w:docPartGallery w:val="Page Numbers (Top of Page)"/>
        <w:docPartUnique/>
      </w:docPartObj>
    </w:sdtPr>
    <w:sdtEndPr/>
    <w:sdtContent>
      <w:p w:rsidR="00077A25" w:rsidRDefault="00077A25">
        <w:pPr>
          <w:pStyle w:val="Header"/>
          <w:jc w:val="right"/>
        </w:pPr>
        <w:r>
          <w:rPr>
            <w:rFonts w:ascii="Arial" w:hAnsi="Arial" w:cs="Arial"/>
            <w:b/>
            <w:bCs/>
            <w:sz w:val="28"/>
            <w:szCs w:val="28"/>
          </w:rPr>
          <w:t>Reimbursement of Moving Expenses Policy</w:t>
        </w:r>
      </w:p>
      <w:p w:rsidR="00847442" w:rsidRDefault="00847442">
        <w:pPr>
          <w:pStyle w:val="Header"/>
          <w:jc w:val="right"/>
        </w:pPr>
        <w:r>
          <w:t xml:space="preserve">Page </w:t>
        </w:r>
        <w:r w:rsidR="00094F40">
          <w:rPr>
            <w:b/>
            <w:sz w:val="24"/>
            <w:szCs w:val="24"/>
          </w:rPr>
          <w:fldChar w:fldCharType="begin"/>
        </w:r>
        <w:r>
          <w:rPr>
            <w:b/>
          </w:rPr>
          <w:instrText xml:space="preserve"> PAGE </w:instrText>
        </w:r>
        <w:r w:rsidR="00094F40">
          <w:rPr>
            <w:b/>
            <w:sz w:val="24"/>
            <w:szCs w:val="24"/>
          </w:rPr>
          <w:fldChar w:fldCharType="separate"/>
        </w:r>
        <w:r w:rsidR="0063468B">
          <w:rPr>
            <w:b/>
            <w:noProof/>
          </w:rPr>
          <w:t>3</w:t>
        </w:r>
        <w:r w:rsidR="00094F40">
          <w:rPr>
            <w:b/>
            <w:sz w:val="24"/>
            <w:szCs w:val="24"/>
          </w:rPr>
          <w:fldChar w:fldCharType="end"/>
        </w:r>
        <w:r>
          <w:t xml:space="preserve"> of </w:t>
        </w:r>
        <w:r w:rsidR="00094F40">
          <w:rPr>
            <w:b/>
            <w:sz w:val="24"/>
            <w:szCs w:val="24"/>
          </w:rPr>
          <w:fldChar w:fldCharType="begin"/>
        </w:r>
        <w:r>
          <w:rPr>
            <w:b/>
          </w:rPr>
          <w:instrText xml:space="preserve"> NUMPAGES  </w:instrText>
        </w:r>
        <w:r w:rsidR="00094F40">
          <w:rPr>
            <w:b/>
            <w:sz w:val="24"/>
            <w:szCs w:val="24"/>
          </w:rPr>
          <w:fldChar w:fldCharType="separate"/>
        </w:r>
        <w:r w:rsidR="0063468B">
          <w:rPr>
            <w:b/>
            <w:noProof/>
          </w:rPr>
          <w:t>3</w:t>
        </w:r>
        <w:r w:rsidR="00094F40">
          <w:rPr>
            <w:b/>
            <w:sz w:val="24"/>
            <w:szCs w:val="24"/>
          </w:rPr>
          <w:fldChar w:fldCharType="end"/>
        </w:r>
      </w:p>
    </w:sdtContent>
  </w:sdt>
  <w:p w:rsidR="00847442" w:rsidRDefault="008474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0C0FC2"/>
    <w:multiLevelType w:val="hybridMultilevel"/>
    <w:tmpl w:val="87D20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300F0E"/>
    <w:multiLevelType w:val="hybridMultilevel"/>
    <w:tmpl w:val="3CEED5E2"/>
    <w:lvl w:ilvl="0" w:tplc="4170E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4"/>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600A5"/>
    <w:rsid w:val="00060BF3"/>
    <w:rsid w:val="00077A25"/>
    <w:rsid w:val="00094F40"/>
    <w:rsid w:val="00131A3D"/>
    <w:rsid w:val="00161482"/>
    <w:rsid w:val="0063468B"/>
    <w:rsid w:val="006357B0"/>
    <w:rsid w:val="00704872"/>
    <w:rsid w:val="007473AB"/>
    <w:rsid w:val="00771C91"/>
    <w:rsid w:val="00847442"/>
    <w:rsid w:val="00865CAE"/>
    <w:rsid w:val="0091045B"/>
    <w:rsid w:val="00A41E69"/>
    <w:rsid w:val="00C717DB"/>
    <w:rsid w:val="00C85D0C"/>
    <w:rsid w:val="00D600A5"/>
    <w:rsid w:val="00E03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27E89D-1083-4CC8-B915-BAC7C4D9F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8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00A5"/>
    <w:pPr>
      <w:widowControl w:val="0"/>
      <w:autoSpaceDE w:val="0"/>
      <w:autoSpaceDN w:val="0"/>
      <w:adjustRightInd w:val="0"/>
      <w:spacing w:after="0" w:line="240" w:lineRule="auto"/>
    </w:pPr>
    <w:rPr>
      <w:rFonts w:ascii="Garamond" w:eastAsiaTheme="minorEastAsia" w:hAnsi="Garamond" w:cs="Garamond"/>
      <w:color w:val="000000"/>
      <w:sz w:val="24"/>
      <w:szCs w:val="24"/>
    </w:rPr>
  </w:style>
  <w:style w:type="character" w:styleId="Hyperlink">
    <w:name w:val="Hyperlink"/>
    <w:basedOn w:val="DefaultParagraphFont"/>
    <w:uiPriority w:val="99"/>
    <w:unhideWhenUsed/>
    <w:rsid w:val="00A41E69"/>
    <w:rPr>
      <w:color w:val="0000FF" w:themeColor="hyperlink"/>
      <w:u w:val="single"/>
    </w:rPr>
  </w:style>
  <w:style w:type="character" w:styleId="FollowedHyperlink">
    <w:name w:val="FollowedHyperlink"/>
    <w:basedOn w:val="DefaultParagraphFont"/>
    <w:uiPriority w:val="99"/>
    <w:semiHidden/>
    <w:unhideWhenUsed/>
    <w:rsid w:val="00A41E69"/>
    <w:rPr>
      <w:color w:val="800080" w:themeColor="followedHyperlink"/>
      <w:u w:val="single"/>
    </w:rPr>
  </w:style>
  <w:style w:type="paragraph" w:styleId="ListParagraph">
    <w:name w:val="List Paragraph"/>
    <w:basedOn w:val="Normal"/>
    <w:uiPriority w:val="34"/>
    <w:qFormat/>
    <w:rsid w:val="00131A3D"/>
    <w:pPr>
      <w:ind w:left="720"/>
      <w:contextualSpacing/>
    </w:pPr>
  </w:style>
  <w:style w:type="paragraph" w:styleId="BalloonText">
    <w:name w:val="Balloon Text"/>
    <w:basedOn w:val="Normal"/>
    <w:link w:val="BalloonTextChar"/>
    <w:uiPriority w:val="99"/>
    <w:semiHidden/>
    <w:unhideWhenUsed/>
    <w:rsid w:val="00131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A3D"/>
    <w:rPr>
      <w:rFonts w:ascii="Tahoma" w:hAnsi="Tahoma" w:cs="Tahoma"/>
      <w:sz w:val="16"/>
      <w:szCs w:val="16"/>
    </w:rPr>
  </w:style>
  <w:style w:type="table" w:styleId="TableGrid">
    <w:name w:val="Table Grid"/>
    <w:basedOn w:val="TableNormal"/>
    <w:uiPriority w:val="59"/>
    <w:rsid w:val="00131A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71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C91"/>
  </w:style>
  <w:style w:type="paragraph" w:styleId="Footer">
    <w:name w:val="footer"/>
    <w:basedOn w:val="Normal"/>
    <w:link w:val="FooterChar"/>
    <w:uiPriority w:val="99"/>
    <w:semiHidden/>
    <w:unhideWhenUsed/>
    <w:rsid w:val="00771C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71C91"/>
  </w:style>
  <w:style w:type="character" w:styleId="HTMLCite">
    <w:name w:val="HTML Cite"/>
    <w:basedOn w:val="DefaultParagraphFont"/>
    <w:uiPriority w:val="99"/>
    <w:semiHidden/>
    <w:unhideWhenUsed/>
    <w:rsid w:val="001614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sc.state.ny.us/agencies/forms/ac1099s_fe.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uny.edu/sunypp/documents.cfm?doc_id=5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rs.gov/pub/irs-pdf/p521.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ublic.leginfo.state.ny.us/LAWSSEAF.cgi?QUERYTYPE=LAWS+&amp;QUERYDATA=$$STF204$$@TXSTF0204+&amp;LIST=LAW+&amp;BROWSER=EXPLORER+&amp;TOKEN=31211802+&amp;TARGET=VIEW" TargetMode="External"/><Relationship Id="rId4" Type="http://schemas.openxmlformats.org/officeDocument/2006/relationships/webSettings" Target="webSettings.xml"/><Relationship Id="rId9" Type="http://schemas.openxmlformats.org/officeDocument/2006/relationships/hyperlink" Target="http://www.osc.state.ny.us/agencies/ac92standvou.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Farmingdale State College</Company>
  <LinksUpToDate>false</LinksUpToDate>
  <CharactersWithSpaces>5593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incandm</dc:creator>
  <cp:lastModifiedBy>Carolyn Fedder</cp:lastModifiedBy>
  <cp:revision>4</cp:revision>
  <cp:lastPrinted>2013-04-05T17:12:00Z</cp:lastPrinted>
  <dcterms:created xsi:type="dcterms:W3CDTF">2013-05-06T19:27:00Z</dcterms:created>
  <dcterms:modified xsi:type="dcterms:W3CDTF">2014-09-22T13:53:00Z</dcterms:modified>
</cp:coreProperties>
</file>